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r>
      <w:r/>
    </w:p>
    <w:p>
      <w:pPr>
        <w:pStyle w:val="846"/>
        <w:rPr>
          <w:rFonts w:hint="eastAsia"/>
        </w:rPr>
      </w:pPr>
      <w:r>
        <w:rPr>
          <w:rFonts w:hint="eastAsia"/>
        </w:rPr>
      </w:r>
      <w:r/>
    </w:p>
    <w:p>
      <w:pPr>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 xml:space="preserve"> </w:t>
      </w:r>
      <w:r/>
    </w:p>
    <w:p>
      <w:pPr>
        <w:ind w:firstLine="300"/>
        <w:spacing w:line="360" w:lineRule="auto"/>
        <w:rPr>
          <w:sz w:val="60"/>
          <w:szCs w:val="60"/>
        </w:rPr>
      </w:pPr>
      <w:r>
        <w:rPr>
          <w:sz w:val="60"/>
          <w:szCs w:val="60"/>
        </w:rPr>
      </w:r>
      <w:r/>
    </w:p>
    <w:p>
      <w:pPr>
        <w:jc w:val="center"/>
        <w:rPr>
          <w:b/>
          <w:bCs/>
          <w:sz w:val="60"/>
          <w:szCs w:val="60"/>
        </w:rPr>
      </w:pPr>
      <w:r>
        <w:rPr>
          <w:b/>
          <w:bCs/>
          <w:sz w:val="60"/>
          <w:szCs w:val="60"/>
        </w:rPr>
        <w:t xml:space="preserve">常州市政府采购项目</w:t>
      </w:r>
      <w:r/>
    </w:p>
    <w:p>
      <w:pPr>
        <w:jc w:val="center"/>
        <w:rPr>
          <w:b/>
          <w:bCs/>
          <w:sz w:val="60"/>
          <w:szCs w:val="60"/>
        </w:rPr>
      </w:pPr>
      <w:r>
        <w:rPr>
          <w:b/>
          <w:bCs/>
          <w:sz w:val="60"/>
          <w:szCs w:val="60"/>
        </w:rPr>
        <w:t xml:space="preserve">竞争性磋商文件示范文本</w:t>
      </w:r>
      <w:r/>
    </w:p>
    <w:p>
      <w:pPr>
        <w:jc w:val="center"/>
        <w:spacing w:line="360" w:lineRule="auto"/>
        <w:rPr>
          <w:rFonts w:ascii="宋体" w:hAnsi="宋体"/>
          <w:b/>
          <w:bCs/>
          <w:sz w:val="60"/>
          <w:szCs w:val="60"/>
        </w:rPr>
      </w:pPr>
      <w:r>
        <w:rPr>
          <w:rFonts w:hint="eastAsia" w:ascii="方正仿宋_GBK" w:hAnsi="方正仿宋_GBK" w:eastAsia="方正仿宋_GBK" w:cs="方正仿宋_GBK"/>
          <w:b/>
          <w:bCs/>
          <w:sz w:val="60"/>
          <w:szCs w:val="60"/>
        </w:rPr>
        <w:t xml:space="preserve">（试行）（2022年版）</w:t>
      </w:r>
      <w:r/>
    </w:p>
    <w:p>
      <w:pPr>
        <w:jc w:val="center"/>
        <w:spacing w:line="360" w:lineRule="auto"/>
        <w:rPr>
          <w:rFonts w:ascii="宋体" w:hAnsi="宋体"/>
          <w:b/>
          <w:bCs/>
          <w:sz w:val="60"/>
          <w:szCs w:val="60"/>
        </w:rPr>
      </w:pPr>
      <w:r>
        <w:rPr>
          <w:rFonts w:ascii="宋体" w:hAnsi="宋体"/>
          <w:b/>
          <w:bCs/>
          <w:sz w:val="60"/>
          <w:szCs w:val="60"/>
        </w:rPr>
      </w:r>
      <w:r/>
    </w:p>
    <w:p>
      <w:pPr>
        <w:jc w:val="left"/>
        <w:spacing w:line="360" w:lineRule="auto"/>
        <w:tabs>
          <w:tab w:val="left" w:pos="5609" w:leader="none"/>
        </w:tabs>
        <w:rPr>
          <w:bCs/>
          <w:sz w:val="36"/>
          <w:szCs w:val="36"/>
        </w:rPr>
      </w:pPr>
      <w:r>
        <w:rPr>
          <w:bCs/>
          <w:sz w:val="36"/>
          <w:szCs w:val="36"/>
        </w:rPr>
        <w:t xml:space="preserve">项目名称：</w:t>
      </w:r>
      <w:r>
        <w:rPr>
          <w:rFonts w:hint="eastAsia"/>
          <w:bCs/>
          <w:sz w:val="36"/>
          <w:szCs w:val="36"/>
          <w:lang w:eastAsia="zh-CN"/>
        </w:rPr>
        <w:t xml:space="preserve">曹山旅游度假区保洁服务项目（</w:t>
      </w:r>
      <w:r>
        <w:rPr>
          <w:rFonts w:hint="eastAsia"/>
          <w:bCs/>
          <w:sz w:val="36"/>
          <w:szCs w:val="36"/>
          <w:lang w:val="en-US" w:eastAsia="zh-CN"/>
        </w:rPr>
        <w:t xml:space="preserve">二次</w:t>
      </w:r>
      <w:r>
        <w:rPr>
          <w:rFonts w:hint="eastAsia"/>
          <w:bCs/>
          <w:sz w:val="36"/>
          <w:szCs w:val="36"/>
          <w:lang w:eastAsia="zh-CN"/>
        </w:rPr>
        <w:t xml:space="preserve">）</w:t>
      </w:r>
      <w:r>
        <w:rPr>
          <w:bCs/>
          <w:sz w:val="36"/>
          <w:szCs w:val="36"/>
        </w:rPr>
        <w:tab/>
      </w:r>
      <w:r/>
    </w:p>
    <w:p>
      <w:pPr>
        <w:jc w:val="left"/>
        <w:spacing w:line="360" w:lineRule="auto"/>
        <w:tabs>
          <w:tab w:val="left" w:pos="3240" w:leader="none"/>
          <w:tab w:val="left" w:pos="3420" w:leader="none"/>
        </w:tabs>
        <w:rPr>
          <w:rFonts w:hint="eastAsia" w:eastAsia="宋体"/>
          <w:bCs/>
          <w:sz w:val="36"/>
          <w:szCs w:val="36"/>
          <w:lang w:eastAsia="zh-CN"/>
        </w:rPr>
      </w:pPr>
      <w:r>
        <w:rPr>
          <w:bCs/>
          <w:sz w:val="36"/>
          <w:szCs w:val="36"/>
        </w:rPr>
        <w:t xml:space="preserve">项目编</w:t>
      </w:r>
      <w:r>
        <w:rPr>
          <w:bCs/>
          <w:sz w:val="36"/>
          <w:szCs w:val="36"/>
          <w:highlight w:val="none"/>
        </w:rPr>
        <w:t xml:space="preserve">号：</w:t>
      </w:r>
      <w:r>
        <w:rPr>
          <w:rFonts w:hint="eastAsia"/>
          <w:bCs/>
          <w:sz w:val="36"/>
          <w:szCs w:val="36"/>
          <w:lang w:eastAsia="zh-CN"/>
        </w:rPr>
        <w:t xml:space="preserve">JSZC-320481-CZHZ-C2026-0001</w:t>
      </w:r>
      <w:r/>
    </w:p>
    <w:p>
      <w:pPr>
        <w:jc w:val="left"/>
        <w:spacing w:line="360" w:lineRule="auto"/>
        <w:tabs>
          <w:tab w:val="left" w:pos="3240" w:leader="none"/>
          <w:tab w:val="left" w:pos="3420" w:leader="none"/>
        </w:tabs>
        <w:rPr>
          <w:rFonts w:hint="eastAsia" w:eastAsia="宋体"/>
          <w:bCs/>
          <w:sz w:val="36"/>
          <w:szCs w:val="36"/>
          <w:highlight w:val="yellow"/>
          <w:lang w:eastAsia="zh-CN"/>
        </w:rPr>
      </w:pPr>
      <w:r>
        <w:rPr>
          <w:bCs/>
          <w:sz w:val="36"/>
          <w:szCs w:val="36"/>
        </w:rPr>
        <w:t xml:space="preserve">采 购 人：</w:t>
      </w:r>
      <w:r>
        <w:rPr>
          <w:rFonts w:hint="eastAsia"/>
          <w:bCs/>
          <w:sz w:val="36"/>
          <w:szCs w:val="36"/>
          <w:lang w:eastAsia="zh-CN"/>
        </w:rPr>
        <w:t xml:space="preserve">江苏省溧阳曹山旅游度假区管理办公室</w:t>
      </w:r>
      <w:r/>
    </w:p>
    <w:p>
      <w:pPr>
        <w:jc w:val="left"/>
        <w:spacing w:line="360" w:lineRule="auto"/>
        <w:tabs>
          <w:tab w:val="left" w:pos="3240" w:leader="none"/>
          <w:tab w:val="left" w:pos="3420" w:leader="none"/>
        </w:tabs>
        <w:rPr>
          <w:rFonts w:hint="eastAsia" w:eastAsia="宋体"/>
          <w:bCs/>
          <w:sz w:val="36"/>
          <w:szCs w:val="36"/>
          <w:lang w:eastAsia="zh-CN"/>
        </w:rPr>
      </w:pPr>
      <w:r>
        <w:rPr>
          <w:rFonts w:hint="eastAsia"/>
          <w:bCs/>
          <w:sz w:val="36"/>
          <w:szCs w:val="36"/>
        </w:rPr>
        <w:t xml:space="preserve">采购</w:t>
      </w:r>
      <w:r>
        <w:rPr>
          <w:bCs/>
          <w:sz w:val="36"/>
          <w:szCs w:val="36"/>
        </w:rPr>
        <w:t xml:space="preserve">代理机构：</w:t>
      </w:r>
      <w:r>
        <w:rPr>
          <w:rFonts w:hint="eastAsia"/>
          <w:bCs/>
          <w:sz w:val="36"/>
          <w:szCs w:val="36"/>
          <w:lang w:eastAsia="zh-CN"/>
        </w:rPr>
        <w:t xml:space="preserve">江苏恒卓工程管理咨询有限公司</w:t>
      </w:r>
      <w:r/>
    </w:p>
    <w:p>
      <w:pPr>
        <w:jc w:val="left"/>
        <w:widowControl/>
        <w:rPr>
          <w:color w:val="000000"/>
          <w:sz w:val="24"/>
        </w:rPr>
      </w:pPr>
      <w:r>
        <w:rPr>
          <w:b/>
          <w:bCs/>
          <w:sz w:val="44"/>
        </w:rPr>
        <w:br w:type="page" w:clear="all"/>
      </w:r>
      <w:r/>
    </w:p>
    <w:p>
      <w:pPr>
        <w:pStyle w:val="1209"/>
        <w:spacing w:line="360" w:lineRule="auto"/>
        <w:rPr>
          <w:rFonts w:ascii="Times New Roman" w:hAnsi="Times New Roman" w:cs="Times New Roman"/>
        </w:rPr>
      </w:pPr>
      <w:r>
        <w:rPr>
          <w:rFonts w:ascii="Times New Roman" w:hAnsi="Times New Roman" w:cs="Times New Roman"/>
        </w:rPr>
      </w:r>
      <w:r/>
    </w:p>
    <w:p>
      <w:pPr>
        <w:jc w:val="center"/>
        <w:spacing w:line="360" w:lineRule="auto"/>
        <w:rPr>
          <w:b/>
          <w:sz w:val="36"/>
          <w:szCs w:val="36"/>
        </w:rPr>
        <w:outlineLvl w:val="0"/>
      </w:pPr>
      <w:r/>
      <w:bookmarkStart w:id="0" w:name="_Toc104818924"/>
      <w:r>
        <w:rPr>
          <w:rFonts w:hint="eastAsia"/>
          <w:b/>
          <w:sz w:val="36"/>
          <w:szCs w:val="36"/>
        </w:rPr>
        <w:t xml:space="preserve">目</w:t>
      </w:r>
      <w:r>
        <w:rPr>
          <w:b/>
          <w:sz w:val="36"/>
          <w:szCs w:val="36"/>
        </w:rPr>
        <w:t xml:space="preserve">      </w:t>
      </w:r>
      <w:r>
        <w:rPr>
          <w:rFonts w:hint="eastAsia"/>
          <w:b/>
          <w:sz w:val="36"/>
          <w:szCs w:val="36"/>
        </w:rPr>
        <w:t xml:space="preserve">录</w:t>
      </w:r>
      <w:bookmarkEnd w:id="0"/>
      <w:r/>
      <w:r/>
    </w:p>
    <w:p>
      <w:r/>
      <w:r/>
    </w:p>
    <w:p>
      <w:r/>
      <w:r/>
    </w:p>
    <w:p>
      <w:r/>
      <w:r/>
    </w:p>
    <w:p>
      <w:r/>
      <w:r/>
    </w:p>
    <w:p>
      <w:pPr>
        <w:pStyle w:val="1083"/>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p>
    <w:p>
      <w:pPr>
        <w:pStyle w:val="1083"/>
        <w:rPr>
          <w:rFonts w:ascii="Calibri" w:hAnsi="Calibri"/>
          <w:b w:val="0"/>
          <w:sz w:val="21"/>
          <w:szCs w:val="22"/>
        </w:rPr>
      </w:pPr>
      <w:r>
        <w:rPr>
          <w:rStyle w:val="1107"/>
        </w:rPr>
        <w:fldChar w:fldCharType="begin"/>
      </w:r>
      <w:r>
        <w:rPr>
          <w:rStyle w:val="1107"/>
        </w:rPr>
        <w:instrText xml:space="preserve"> </w:instrText>
      </w:r>
      <w:r>
        <w:instrText xml:space="preserve">HYPERLINK \l "_Toc104818925"</w:instrText>
      </w:r>
      <w:r>
        <w:rPr>
          <w:rStyle w:val="1107"/>
        </w:rPr>
        <w:instrText xml:space="preserve"> </w:instrText>
      </w:r>
      <w:r>
        <w:rPr>
          <w:rStyle w:val="1107"/>
        </w:rPr>
        <w:fldChar w:fldCharType="separate"/>
      </w:r>
      <w:r>
        <w:rPr>
          <w:rStyle w:val="1107"/>
          <w:rFonts w:hint="eastAsia"/>
        </w:rPr>
        <w:t xml:space="preserve">第一章</w:t>
      </w:r>
      <w:r>
        <w:rPr>
          <w:rStyle w:val="1107"/>
        </w:rPr>
        <w:t xml:space="preserve">   </w:t>
      </w:r>
      <w:r>
        <w:rPr>
          <w:rStyle w:val="1107"/>
          <w:rFonts w:hint="eastAsia"/>
        </w:rPr>
        <w:t xml:space="preserve">采购邀请</w:t>
      </w:r>
      <w:r>
        <w:rPr>
          <w:rStyle w:val="1107"/>
        </w:rPr>
        <w:fldChar w:fldCharType="end"/>
      </w:r>
      <w:r/>
    </w:p>
    <w:p>
      <w:pPr>
        <w:pStyle w:val="1083"/>
        <w:rPr>
          <w:rFonts w:ascii="Calibri" w:hAnsi="Calibri"/>
          <w:b w:val="0"/>
          <w:sz w:val="21"/>
          <w:szCs w:val="22"/>
        </w:rPr>
      </w:pPr>
      <w:r>
        <w:rPr>
          <w:rStyle w:val="1107"/>
        </w:rPr>
        <w:fldChar w:fldCharType="begin"/>
      </w:r>
      <w:r>
        <w:rPr>
          <w:rStyle w:val="1107"/>
        </w:rPr>
        <w:instrText xml:space="preserve"> </w:instrText>
      </w:r>
      <w:r>
        <w:instrText xml:space="preserve">HYPERLINK \l "_Toc104818926"</w:instrText>
      </w:r>
      <w:r>
        <w:rPr>
          <w:rStyle w:val="1107"/>
        </w:rPr>
        <w:instrText xml:space="preserve"> </w:instrText>
      </w:r>
      <w:r>
        <w:rPr>
          <w:rStyle w:val="1107"/>
        </w:rPr>
        <w:fldChar w:fldCharType="separate"/>
      </w:r>
      <w:r>
        <w:rPr>
          <w:rStyle w:val="1107"/>
          <w:rFonts w:hint="eastAsia"/>
        </w:rPr>
        <w:t xml:space="preserve">第二章</w:t>
      </w:r>
      <w:r>
        <w:rPr>
          <w:rStyle w:val="1107"/>
        </w:rPr>
        <w:t xml:space="preserve">   </w:t>
      </w:r>
      <w:r>
        <w:rPr>
          <w:rStyle w:val="1107"/>
          <w:rFonts w:hint="eastAsia"/>
        </w:rPr>
        <w:t xml:space="preserve">供应商须知</w:t>
      </w:r>
      <w:r>
        <w:rPr>
          <w:rStyle w:val="1107"/>
        </w:rPr>
        <w:fldChar w:fldCharType="end"/>
      </w:r>
      <w:r/>
    </w:p>
    <w:p>
      <w:pPr>
        <w:pStyle w:val="1083"/>
        <w:rPr>
          <w:rFonts w:ascii="Calibri" w:hAnsi="Calibri"/>
          <w:b w:val="0"/>
          <w:sz w:val="21"/>
          <w:szCs w:val="22"/>
        </w:rPr>
      </w:pPr>
      <w:r>
        <w:rPr>
          <w:rStyle w:val="1107"/>
        </w:rPr>
        <w:fldChar w:fldCharType="begin"/>
      </w:r>
      <w:r>
        <w:rPr>
          <w:rStyle w:val="1107"/>
        </w:rPr>
        <w:instrText xml:space="preserve"> </w:instrText>
      </w:r>
      <w:r>
        <w:instrText xml:space="preserve">HYPERLINK \l "_Toc104818927"</w:instrText>
      </w:r>
      <w:r>
        <w:rPr>
          <w:rStyle w:val="1107"/>
        </w:rPr>
        <w:instrText xml:space="preserve"> </w:instrText>
      </w:r>
      <w:r>
        <w:rPr>
          <w:rStyle w:val="1107"/>
        </w:rPr>
        <w:fldChar w:fldCharType="separate"/>
      </w:r>
      <w:r>
        <w:rPr>
          <w:rStyle w:val="1107"/>
          <w:rFonts w:hint="eastAsia"/>
        </w:rPr>
        <w:t xml:space="preserve">第三章</w:t>
      </w:r>
      <w:r>
        <w:rPr>
          <w:rStyle w:val="1107"/>
        </w:rPr>
        <w:t xml:space="preserve">   </w:t>
      </w:r>
      <w:r>
        <w:rPr>
          <w:rStyle w:val="1107"/>
          <w:rFonts w:hint="eastAsia"/>
        </w:rPr>
        <w:t xml:space="preserve">评审程序、评审方法和评审标准</w:t>
      </w:r>
      <w:r>
        <w:rPr>
          <w:rStyle w:val="1107"/>
        </w:rPr>
        <w:fldChar w:fldCharType="end"/>
      </w:r>
      <w:r/>
    </w:p>
    <w:p>
      <w:pPr>
        <w:pStyle w:val="1083"/>
        <w:rPr>
          <w:rFonts w:ascii="Calibri" w:hAnsi="Calibri"/>
          <w:b w:val="0"/>
          <w:sz w:val="21"/>
          <w:szCs w:val="22"/>
        </w:rPr>
      </w:pPr>
      <w:r>
        <w:rPr>
          <w:rStyle w:val="1107"/>
        </w:rPr>
        <w:fldChar w:fldCharType="begin"/>
      </w:r>
      <w:r>
        <w:rPr>
          <w:rStyle w:val="1107"/>
        </w:rPr>
        <w:instrText xml:space="preserve"> </w:instrText>
      </w:r>
      <w:r>
        <w:instrText xml:space="preserve">HYPERLINK \l "_Toc104818928"</w:instrText>
      </w:r>
      <w:r>
        <w:rPr>
          <w:rStyle w:val="1107"/>
        </w:rPr>
        <w:instrText xml:space="preserve"> </w:instrText>
      </w:r>
      <w:r>
        <w:rPr>
          <w:rStyle w:val="1107"/>
        </w:rPr>
        <w:fldChar w:fldCharType="separate"/>
      </w:r>
      <w:r>
        <w:rPr>
          <w:rStyle w:val="1107"/>
          <w:rFonts w:hint="eastAsia"/>
        </w:rPr>
        <w:t xml:space="preserve">第四章</w:t>
      </w:r>
      <w:r>
        <w:rPr>
          <w:rStyle w:val="1107"/>
        </w:rPr>
        <w:t xml:space="preserve">   </w:t>
      </w:r>
      <w:r>
        <w:rPr>
          <w:rStyle w:val="1107"/>
          <w:rFonts w:hint="eastAsia"/>
        </w:rPr>
        <w:t xml:space="preserve">采购需求</w:t>
      </w:r>
      <w:r>
        <w:rPr>
          <w:rStyle w:val="1107"/>
        </w:rPr>
        <w:fldChar w:fldCharType="end"/>
      </w:r>
      <w:r/>
    </w:p>
    <w:p>
      <w:pPr>
        <w:pStyle w:val="1083"/>
        <w:rPr>
          <w:rFonts w:ascii="Calibri" w:hAnsi="Calibri"/>
          <w:b w:val="0"/>
          <w:sz w:val="21"/>
          <w:szCs w:val="22"/>
        </w:rPr>
      </w:pPr>
      <w:r>
        <w:rPr>
          <w:rStyle w:val="1107"/>
        </w:rPr>
        <w:fldChar w:fldCharType="begin"/>
      </w:r>
      <w:r>
        <w:rPr>
          <w:rStyle w:val="1107"/>
        </w:rPr>
        <w:instrText xml:space="preserve"> </w:instrText>
      </w:r>
      <w:r>
        <w:instrText xml:space="preserve">HYPERLINK \l "_Toc104818929"</w:instrText>
      </w:r>
      <w:r>
        <w:rPr>
          <w:rStyle w:val="1107"/>
        </w:rPr>
        <w:instrText xml:space="preserve"> </w:instrText>
      </w:r>
      <w:r>
        <w:rPr>
          <w:rStyle w:val="1107"/>
        </w:rPr>
        <w:fldChar w:fldCharType="separate"/>
      </w:r>
      <w:r>
        <w:rPr>
          <w:rStyle w:val="1107"/>
          <w:rFonts w:hint="eastAsia"/>
        </w:rPr>
        <w:t xml:space="preserve">第五章</w:t>
      </w:r>
      <w:r>
        <w:rPr>
          <w:rStyle w:val="1107"/>
        </w:rPr>
        <w:t xml:space="preserve">   </w:t>
      </w:r>
      <w:r>
        <w:rPr>
          <w:rStyle w:val="1107"/>
          <w:rFonts w:hint="eastAsia"/>
        </w:rPr>
        <w:t xml:space="preserve">合同草案条款</w:t>
      </w:r>
      <w:r>
        <w:rPr>
          <w:rStyle w:val="1107"/>
        </w:rPr>
        <w:fldChar w:fldCharType="end"/>
      </w:r>
      <w:r/>
    </w:p>
    <w:p>
      <w:pPr>
        <w:pStyle w:val="1083"/>
        <w:rPr>
          <w:rFonts w:ascii="Calibri" w:hAnsi="Calibri"/>
          <w:b w:val="0"/>
          <w:sz w:val="21"/>
          <w:szCs w:val="22"/>
        </w:rPr>
      </w:pPr>
      <w:r>
        <w:rPr>
          <w:rStyle w:val="1107"/>
        </w:rPr>
        <w:fldChar w:fldCharType="begin"/>
      </w:r>
      <w:r>
        <w:rPr>
          <w:rStyle w:val="1107"/>
        </w:rPr>
        <w:instrText xml:space="preserve"> </w:instrText>
      </w:r>
      <w:r>
        <w:instrText xml:space="preserve">HYPERLINK \l "_Toc104818930"</w:instrText>
      </w:r>
      <w:r>
        <w:rPr>
          <w:rStyle w:val="1107"/>
        </w:rPr>
        <w:instrText xml:space="preserve"> </w:instrText>
      </w:r>
      <w:r>
        <w:rPr>
          <w:rStyle w:val="1107"/>
        </w:rPr>
        <w:fldChar w:fldCharType="separate"/>
      </w:r>
      <w:r>
        <w:rPr>
          <w:rStyle w:val="1107"/>
          <w:rFonts w:hint="eastAsia"/>
        </w:rPr>
        <w:t xml:space="preserve">第六章</w:t>
      </w:r>
      <w:r>
        <w:rPr>
          <w:rStyle w:val="1107"/>
        </w:rPr>
        <w:t xml:space="preserve">   </w:t>
      </w:r>
      <w:r>
        <w:rPr>
          <w:rStyle w:val="1107"/>
          <w:rFonts w:hint="eastAsia"/>
        </w:rPr>
        <w:t xml:space="preserve">响应文件格式</w:t>
      </w:r>
      <w:r>
        <w:rPr>
          <w:rStyle w:val="1107"/>
        </w:rPr>
        <w:fldChar w:fldCharType="end"/>
      </w:r>
      <w:r/>
    </w:p>
    <w:p>
      <w:pPr>
        <w:pStyle w:val="1083"/>
        <w:spacing w:line="360" w:lineRule="auto"/>
        <w:rPr>
          <w:rFonts w:ascii="Times New Roman" w:hAnsi="Times New Roman"/>
          <w:b w:val="0"/>
        </w:rPr>
      </w:pPr>
      <w:r>
        <w:rPr>
          <w:rFonts w:ascii="Times New Roman" w:hAnsi="Times New Roman"/>
          <w:b w:val="0"/>
        </w:rPr>
        <w:fldChar w:fldCharType="end"/>
      </w:r>
      <w:r/>
    </w:p>
    <w:p>
      <w:pPr>
        <w:pStyle w:val="1083"/>
        <w:spacing w:line="360" w:lineRule="auto"/>
        <w:rPr>
          <w:b w:val="0"/>
          <w:sz w:val="36"/>
          <w:szCs w:val="36"/>
        </w:rPr>
      </w:pPr>
      <w:r>
        <w:rPr>
          <w:b w:val="0"/>
          <w:sz w:val="36"/>
          <w:szCs w:val="36"/>
        </w:rPr>
      </w:r>
      <w:r/>
    </w:p>
    <w:p>
      <w:pPr>
        <w:jc w:val="center"/>
        <w:spacing w:line="360" w:lineRule="auto"/>
        <w:rPr>
          <w:b/>
          <w:sz w:val="36"/>
          <w:szCs w:val="36"/>
        </w:rPr>
        <w:sectPr>
          <w:headerReference w:type="default" r:id="rId9"/>
          <w:headerReference w:type="first" r:id="rId10"/>
          <w:footerReference w:type="default" r:id="rId14"/>
          <w:footerReference w:type="even" r:id="rId15"/>
          <w:footerReference w:type="first" r:id="rId16"/>
          <w:footnotePr/>
          <w:endnotePr/>
          <w:type w:val="nextColumn"/>
          <w:pgSz w:w="11907" w:h="16840" w:orient="portrait"/>
          <w:pgMar w:top="1440" w:right="847" w:bottom="1440" w:left="1400" w:header="851" w:footer="851" w:gutter="0"/>
          <w:pgNumType w:start="1"/>
          <w:cols w:num="1" w:sep="0" w:space="1701" w:equalWidth="1"/>
          <w:docGrid w:linePitch="360"/>
          <w:titlePg/>
        </w:sectPr>
        <w:outlineLvl w:val="0"/>
      </w:pPr>
      <w:r>
        <w:rPr>
          <w:b/>
          <w:sz w:val="36"/>
          <w:szCs w:val="36"/>
        </w:rPr>
        <w:br w:type="page" w:clear="all"/>
      </w:r>
      <w:r/>
    </w:p>
    <w:p>
      <w:pPr>
        <w:jc w:val="center"/>
        <w:spacing w:line="360" w:lineRule="auto"/>
        <w:rPr>
          <w:b/>
          <w:sz w:val="36"/>
          <w:szCs w:val="36"/>
        </w:rPr>
        <w:outlineLvl w:val="0"/>
      </w:pPr>
      <w:r/>
      <w:bookmarkStart w:id="1" w:name="_Toc104818925"/>
      <w:r>
        <w:rPr>
          <w:b/>
          <w:sz w:val="36"/>
          <w:szCs w:val="36"/>
        </w:rPr>
        <w:t xml:space="preserve">第一章   采购邀请</w:t>
      </w:r>
      <w:bookmarkEnd w:id="1"/>
      <w:r/>
      <w:bookmarkStart w:id="2" w:name="_Toc28359079"/>
      <w:r/>
      <w:bookmarkStart w:id="3" w:name="_Toc35393790"/>
      <w:r/>
      <w:bookmarkStart w:id="4" w:name="_Toc28359002"/>
      <w:r/>
      <w:bookmarkStart w:id="5" w:name="_Toc35393621"/>
      <w:r/>
      <w:bookmarkStart w:id="6" w:name="_Hlk24379207"/>
      <w:r/>
      <w:r/>
    </w:p>
    <w:p>
      <w:pPr>
        <w:ind w:firstLine="480"/>
        <w:spacing w:line="360" w:lineRule="auto"/>
        <w:rPr>
          <w:sz w:val="24"/>
        </w:rPr>
      </w:pPr>
      <w:r>
        <w:rPr>
          <w:sz w:val="24"/>
        </w:rPr>
      </w:r>
      <w:r/>
    </w:p>
    <w:p>
      <w:pPr>
        <w:pStyle w:val="1033"/>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一、项目基本情况</w:t>
      </w:r>
      <w:bookmarkEnd w:id="2"/>
      <w:r/>
      <w:bookmarkEnd w:id="3"/>
      <w:r/>
      <w:bookmarkEnd w:id="4"/>
      <w:r/>
      <w:bookmarkEnd w:id="5"/>
      <w:r/>
      <w:r/>
    </w:p>
    <w:p>
      <w:pPr>
        <w:ind w:firstLine="480"/>
        <w:spacing w:line="360" w:lineRule="auto"/>
        <w:rPr>
          <w:sz w:val="24"/>
          <w:highlight w:val="none"/>
        </w:rPr>
      </w:pPr>
      <w:r>
        <w:rPr>
          <w:sz w:val="24"/>
          <w:highlight w:val="none"/>
        </w:rPr>
        <w:t xml:space="preserve">1.项目编号：</w:t>
      </w:r>
      <w:r>
        <w:rPr>
          <w:rFonts w:hint="eastAsia"/>
          <w:sz w:val="24"/>
          <w:highlight w:val="none"/>
          <w:lang w:eastAsia="zh-CN"/>
        </w:rPr>
        <w:t xml:space="preserve">JSZC-320481-CZHZ-C2026-0001</w:t>
      </w:r>
      <w:r/>
    </w:p>
    <w:p>
      <w:pPr>
        <w:ind w:firstLine="480"/>
        <w:spacing w:line="360" w:lineRule="auto"/>
        <w:rPr>
          <w:rFonts w:hint="eastAsia" w:eastAsia="宋体"/>
          <w:sz w:val="24"/>
          <w:highlight w:val="none"/>
          <w:lang w:eastAsia="zh-CN"/>
        </w:rPr>
      </w:pPr>
      <w:r>
        <w:rPr>
          <w:sz w:val="24"/>
          <w:highlight w:val="none"/>
        </w:rPr>
        <w:t xml:space="preserve">2.项目名称：</w:t>
      </w:r>
      <w:r>
        <w:rPr>
          <w:rFonts w:hint="eastAsia"/>
          <w:sz w:val="24"/>
          <w:highlight w:val="none"/>
          <w:lang w:eastAsia="zh-CN"/>
        </w:rPr>
        <w:t xml:space="preserve">曹山旅游度假区保洁服务项目（</w:t>
      </w:r>
      <w:r>
        <w:rPr>
          <w:rFonts w:hint="eastAsia"/>
          <w:sz w:val="24"/>
          <w:highlight w:val="none"/>
          <w:lang w:val="en-US" w:eastAsia="zh-CN"/>
        </w:rPr>
        <w:t xml:space="preserve">二次</w:t>
      </w:r>
      <w:r>
        <w:rPr>
          <w:rFonts w:hint="eastAsia"/>
          <w:sz w:val="24"/>
          <w:highlight w:val="none"/>
          <w:lang w:eastAsia="zh-CN"/>
        </w:rPr>
        <w:t xml:space="preserve">）</w:t>
      </w:r>
      <w:r/>
    </w:p>
    <w:p>
      <w:pPr>
        <w:ind w:firstLine="480"/>
        <w:spacing w:line="360" w:lineRule="auto"/>
        <w:rPr>
          <w:sz w:val="24"/>
          <w:highlight w:val="none"/>
        </w:rPr>
      </w:pPr>
      <w:r>
        <w:rPr>
          <w:sz w:val="24"/>
          <w:highlight w:val="none"/>
        </w:rPr>
        <w:t xml:space="preserve">3.采购方式：竞争性磋商</w:t>
      </w:r>
      <w:bookmarkEnd w:id="6"/>
      <w:r/>
      <w:r/>
    </w:p>
    <w:p>
      <w:pPr>
        <w:ind w:firstLine="480"/>
        <w:spacing w:line="360" w:lineRule="auto"/>
        <w:rPr>
          <w:rFonts w:hint="default" w:ascii="Times New Roman" w:hAnsi="Times New Roman" w:eastAsia="宋体" w:cs="Times New Roman"/>
          <w:sz w:val="24"/>
          <w:highlight w:val="none"/>
          <w:lang w:val="en-US"/>
        </w:rPr>
      </w:pPr>
      <w:r>
        <w:rPr>
          <w:sz w:val="24"/>
          <w:highlight w:val="none"/>
        </w:rPr>
        <w:t xml:space="preserve">4.项目预算金额</w:t>
      </w:r>
      <w:r>
        <w:rPr>
          <w:rFonts w:ascii="Times New Roman" w:hAnsi="Times New Roman" w:eastAsia="宋体" w:cs="Times New Roman"/>
          <w:sz w:val="24"/>
          <w:highlight w:val="none"/>
        </w:rPr>
        <w:t xml:space="preserve">：</w:t>
      </w:r>
      <w:r>
        <w:rPr>
          <w:rFonts w:hint="eastAsia" w:cs="Times New Roman"/>
          <w:sz w:val="24"/>
          <w:highlight w:val="none"/>
          <w:lang w:val="en-US" w:eastAsia="zh-CN"/>
        </w:rPr>
        <w:t xml:space="preserve">采购包1</w:t>
      </w:r>
      <w:r>
        <w:rPr>
          <w:rFonts w:hint="eastAsia" w:ascii="Times New Roman" w:hAnsi="Times New Roman" w:eastAsia="宋体" w:cs="Times New Roman"/>
          <w:sz w:val="24"/>
          <w:highlight w:val="none"/>
          <w:lang w:val="en-US" w:eastAsia="zh-CN"/>
        </w:rPr>
        <w:t xml:space="preserve">：</w:t>
      </w:r>
      <w:r>
        <w:rPr>
          <w:rFonts w:hint="eastAsia" w:ascii="Times New Roman" w:hAnsi="Times New Roman" w:eastAsia="宋体" w:cs="Times New Roman"/>
          <w:sz w:val="24"/>
          <w:highlight w:val="none"/>
        </w:rPr>
        <w:t xml:space="preserve">人民币</w:t>
      </w:r>
      <w:r>
        <w:rPr>
          <w:rFonts w:hint="eastAsia" w:cs="Times New Roman"/>
          <w:sz w:val="24"/>
          <w:highlight w:val="none"/>
          <w:lang w:val="en-US" w:eastAsia="zh-CN"/>
        </w:rPr>
        <w:t xml:space="preserve">108.38</w:t>
      </w:r>
      <w:r>
        <w:rPr>
          <w:rFonts w:hint="eastAsia" w:ascii="Times New Roman" w:hAnsi="Times New Roman" w:eastAsia="宋体" w:cs="Times New Roman"/>
          <w:sz w:val="24"/>
          <w:highlight w:val="none"/>
          <w:lang w:eastAsia="zh-CN"/>
        </w:rPr>
        <w:t xml:space="preserve">万元；</w:t>
      </w:r>
      <w:r>
        <w:rPr>
          <w:rFonts w:hint="eastAsia" w:cs="Times New Roman"/>
          <w:sz w:val="24"/>
          <w:highlight w:val="none"/>
          <w:lang w:val="en-US" w:eastAsia="zh-CN"/>
        </w:rPr>
        <w:t xml:space="preserve">采购包2</w:t>
      </w:r>
      <w:r>
        <w:rPr>
          <w:rFonts w:hint="eastAsia" w:ascii="Times New Roman" w:hAnsi="Times New Roman" w:eastAsia="宋体" w:cs="Times New Roman"/>
          <w:sz w:val="24"/>
          <w:highlight w:val="none"/>
          <w:lang w:val="en-US" w:eastAsia="zh-CN"/>
        </w:rPr>
        <w:t xml:space="preserve">：</w:t>
      </w:r>
      <w:r>
        <w:rPr>
          <w:rFonts w:hint="eastAsia" w:ascii="Times New Roman" w:hAnsi="Times New Roman" w:eastAsia="宋体" w:cs="Times New Roman"/>
          <w:sz w:val="24"/>
          <w:highlight w:val="none"/>
        </w:rPr>
        <w:t xml:space="preserve">人民币</w:t>
      </w:r>
      <w:r>
        <w:rPr>
          <w:rFonts w:hint="eastAsia" w:cs="Times New Roman"/>
          <w:sz w:val="24"/>
          <w:highlight w:val="none"/>
          <w:lang w:val="en-US" w:eastAsia="zh-CN"/>
        </w:rPr>
        <w:t xml:space="preserve">53.69</w:t>
      </w:r>
      <w:r>
        <w:rPr>
          <w:rFonts w:hint="eastAsia" w:ascii="Times New Roman" w:hAnsi="Times New Roman" w:eastAsia="宋体" w:cs="Times New Roman"/>
          <w:sz w:val="24"/>
          <w:highlight w:val="none"/>
          <w:lang w:eastAsia="zh-CN"/>
        </w:rPr>
        <w:t xml:space="preserve">万元</w:t>
      </w:r>
      <w:r/>
    </w:p>
    <w:p>
      <w:pPr>
        <w:ind w:firstLine="480"/>
        <w:spacing w:line="360"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5.</w:t>
      </w:r>
      <w:r>
        <w:rPr>
          <w:rFonts w:ascii="Times New Roman" w:hAnsi="Times New Roman" w:eastAsia="宋体" w:cs="Times New Roman"/>
          <w:sz w:val="24"/>
          <w:highlight w:val="none"/>
        </w:rPr>
        <w:t xml:space="preserve">项目最高限价：</w:t>
      </w:r>
      <w:r>
        <w:rPr>
          <w:rFonts w:hint="eastAsia" w:ascii="Times New Roman" w:hAnsi="Times New Roman" w:eastAsia="宋体" w:cs="Times New Roman"/>
          <w:sz w:val="24"/>
          <w:highlight w:val="none"/>
          <w:lang w:val="en-US" w:eastAsia="zh-CN"/>
        </w:rPr>
        <w:t xml:space="preserve">采购包1：</w:t>
      </w:r>
      <w:r>
        <w:rPr>
          <w:rFonts w:hint="eastAsia" w:ascii="Times New Roman" w:hAnsi="Times New Roman" w:eastAsia="宋体" w:cs="Times New Roman"/>
          <w:sz w:val="24"/>
          <w:highlight w:val="none"/>
        </w:rPr>
        <w:t xml:space="preserve">人民币</w:t>
      </w:r>
      <w:r>
        <w:rPr>
          <w:rFonts w:hint="eastAsia" w:cs="Times New Roman"/>
          <w:sz w:val="24"/>
          <w:highlight w:val="none"/>
          <w:lang w:val="en-US" w:eastAsia="zh-CN"/>
        </w:rPr>
        <w:t xml:space="preserve">95</w:t>
      </w:r>
      <w:r>
        <w:rPr>
          <w:rFonts w:hint="eastAsia" w:ascii="Times New Roman" w:hAnsi="Times New Roman" w:eastAsia="宋体" w:cs="Times New Roman"/>
          <w:sz w:val="24"/>
          <w:highlight w:val="none"/>
          <w:lang w:eastAsia="zh-CN"/>
        </w:rPr>
        <w:t xml:space="preserve">万元；</w:t>
      </w:r>
      <w:r>
        <w:rPr>
          <w:rFonts w:hint="eastAsia" w:ascii="Times New Roman" w:hAnsi="Times New Roman" w:eastAsia="宋体" w:cs="Times New Roman"/>
          <w:sz w:val="24"/>
          <w:highlight w:val="none"/>
          <w:lang w:val="en-US" w:eastAsia="zh-CN"/>
        </w:rPr>
        <w:t xml:space="preserve">采购包2：</w:t>
      </w:r>
      <w:r>
        <w:rPr>
          <w:rFonts w:hint="eastAsia" w:ascii="Times New Roman" w:hAnsi="Times New Roman" w:eastAsia="宋体" w:cs="Times New Roman"/>
          <w:sz w:val="24"/>
          <w:highlight w:val="none"/>
        </w:rPr>
        <w:t xml:space="preserve">人民币</w:t>
      </w:r>
      <w:r>
        <w:rPr>
          <w:rFonts w:hint="eastAsia" w:cs="Times New Roman"/>
          <w:sz w:val="24"/>
          <w:highlight w:val="none"/>
          <w:lang w:val="en-US" w:eastAsia="zh-CN"/>
        </w:rPr>
        <w:t xml:space="preserve">48</w:t>
      </w:r>
      <w:r>
        <w:rPr>
          <w:rFonts w:hint="eastAsia" w:ascii="Times New Roman" w:hAnsi="Times New Roman" w:eastAsia="宋体" w:cs="Times New Roman"/>
          <w:sz w:val="24"/>
          <w:highlight w:val="none"/>
          <w:lang w:eastAsia="zh-CN"/>
        </w:rPr>
        <w:t xml:space="preserve">万元</w:t>
      </w:r>
      <w:r/>
    </w:p>
    <w:p>
      <w:pPr>
        <w:ind w:firstLine="480"/>
        <w:spacing w:line="360" w:lineRule="auto"/>
        <w:rPr>
          <w:sz w:val="24"/>
          <w:highlight w:val="none"/>
        </w:rPr>
      </w:pPr>
      <w:r>
        <w:rPr>
          <w:rFonts w:hint="eastAsia"/>
          <w:sz w:val="24"/>
          <w:highlight w:val="none"/>
          <w:lang w:val="en-US" w:eastAsia="zh-CN"/>
        </w:rPr>
        <w:t xml:space="preserve">6</w:t>
      </w:r>
      <w:r>
        <w:rPr>
          <w:sz w:val="24"/>
          <w:highlight w:val="none"/>
        </w:rPr>
        <w:t xml:space="preserve">.采购需求：</w:t>
      </w:r>
      <w:r/>
    </w:p>
    <w:tbl>
      <w:tblPr>
        <w:tblStyle w:val="855"/>
        <w:tblW w:w="513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2537"/>
        <w:gridCol w:w="2089"/>
        <w:gridCol w:w="852"/>
        <w:gridCol w:w="3113"/>
      </w:tblGrid>
      <w:tr>
        <w:trPr>
          <w:trHeight w:val="454"/>
        </w:trPr>
        <w:tc>
          <w:tcPr>
            <w:tcW w:w="681" w:type="dxa"/>
            <w:vAlign w:val="center"/>
            <w:textDirection w:val="lrTb"/>
            <w:noWrap w:val="false"/>
          </w:tcPr>
          <w:p>
            <w:pPr>
              <w:jc w:val="center"/>
              <w:rPr>
                <w:rFonts w:hint="eastAsia"/>
                <w:sz w:val="24"/>
                <w:highlight w:val="none"/>
                <w:lang w:eastAsia="zh-CN"/>
              </w:rPr>
            </w:pPr>
            <w:r>
              <w:rPr>
                <w:rFonts w:hint="eastAsia"/>
                <w:sz w:val="24"/>
                <w:highlight w:val="none"/>
                <w:lang w:eastAsia="zh-CN"/>
              </w:rPr>
              <w:t xml:space="preserve">包号</w:t>
            </w:r>
            <w:r/>
          </w:p>
        </w:tc>
        <w:tc>
          <w:tcPr>
            <w:tcW w:w="2481" w:type="dxa"/>
            <w:vAlign w:val="center"/>
            <w:textDirection w:val="lrTb"/>
            <w:noWrap w:val="false"/>
          </w:tcPr>
          <w:p>
            <w:pPr>
              <w:jc w:val="center"/>
              <w:rPr>
                <w:rFonts w:hint="eastAsia"/>
                <w:sz w:val="24"/>
                <w:highlight w:val="none"/>
                <w:lang w:eastAsia="zh-CN"/>
              </w:rPr>
            </w:pPr>
            <w:r>
              <w:rPr>
                <w:rFonts w:hint="eastAsia"/>
                <w:sz w:val="24"/>
                <w:highlight w:val="none"/>
                <w:lang w:eastAsia="zh-CN"/>
              </w:rPr>
              <w:t xml:space="preserve">标的名称</w:t>
            </w:r>
            <w:r/>
          </w:p>
        </w:tc>
        <w:tc>
          <w:tcPr>
            <w:tcW w:w="2043" w:type="dxa"/>
            <w:vAlign w:val="center"/>
            <w:textDirection w:val="lrTb"/>
            <w:noWrap w:val="false"/>
          </w:tcPr>
          <w:p>
            <w:pPr>
              <w:jc w:val="center"/>
              <w:rPr>
                <w:rFonts w:hint="eastAsia"/>
                <w:sz w:val="24"/>
                <w:highlight w:val="none"/>
                <w:lang w:eastAsia="zh-CN"/>
              </w:rPr>
            </w:pPr>
            <w:r>
              <w:rPr>
                <w:rFonts w:hint="eastAsia"/>
                <w:sz w:val="24"/>
                <w:highlight w:val="none"/>
                <w:lang w:eastAsia="zh-CN"/>
              </w:rPr>
              <w:t xml:space="preserve">采购包预算金额</w:t>
            </w:r>
            <w:r/>
          </w:p>
          <w:p>
            <w:pPr>
              <w:jc w:val="center"/>
              <w:rPr>
                <w:rFonts w:hint="eastAsia"/>
                <w:sz w:val="24"/>
                <w:highlight w:val="none"/>
                <w:lang w:eastAsia="zh-CN"/>
              </w:rPr>
            </w:pPr>
            <w:r>
              <w:rPr>
                <w:rFonts w:hint="eastAsia"/>
                <w:sz w:val="24"/>
                <w:highlight w:val="none"/>
                <w:lang w:eastAsia="zh-CN"/>
              </w:rPr>
              <w:t xml:space="preserve">（万元）</w:t>
            </w:r>
            <w:r/>
          </w:p>
        </w:tc>
        <w:tc>
          <w:tcPr>
            <w:tcW w:w="833" w:type="dxa"/>
            <w:vAlign w:val="center"/>
            <w:textDirection w:val="lrTb"/>
            <w:noWrap w:val="false"/>
          </w:tcPr>
          <w:p>
            <w:pPr>
              <w:jc w:val="center"/>
              <w:rPr>
                <w:rFonts w:hint="eastAsia"/>
                <w:sz w:val="24"/>
                <w:highlight w:val="none"/>
                <w:lang w:eastAsia="zh-CN"/>
              </w:rPr>
            </w:pPr>
            <w:r>
              <w:rPr>
                <w:rFonts w:hint="eastAsia"/>
                <w:sz w:val="24"/>
                <w:highlight w:val="none"/>
                <w:lang w:eastAsia="zh-CN"/>
              </w:rPr>
              <w:t xml:space="preserve">数量</w:t>
            </w:r>
            <w:r/>
          </w:p>
        </w:tc>
        <w:tc>
          <w:tcPr>
            <w:tcW w:w="3045" w:type="dxa"/>
            <w:vAlign w:val="center"/>
            <w:textDirection w:val="lrTb"/>
            <w:noWrap w:val="false"/>
          </w:tcPr>
          <w:p>
            <w:pPr>
              <w:jc w:val="center"/>
              <w:rPr>
                <w:rFonts w:hint="eastAsia"/>
                <w:sz w:val="24"/>
                <w:highlight w:val="none"/>
                <w:lang w:eastAsia="zh-CN"/>
              </w:rPr>
            </w:pPr>
            <w:r>
              <w:rPr>
                <w:rFonts w:hint="eastAsia"/>
                <w:sz w:val="24"/>
                <w:highlight w:val="none"/>
                <w:lang w:eastAsia="zh-CN"/>
              </w:rPr>
              <w:t xml:space="preserve">简要技</w:t>
            </w:r>
            <w:r/>
          </w:p>
          <w:p>
            <w:pPr>
              <w:jc w:val="center"/>
              <w:rPr>
                <w:rFonts w:hint="eastAsia"/>
                <w:sz w:val="24"/>
                <w:highlight w:val="none"/>
                <w:lang w:eastAsia="zh-CN"/>
              </w:rPr>
            </w:pPr>
            <w:r>
              <w:rPr>
                <w:rFonts w:hint="eastAsia"/>
                <w:sz w:val="24"/>
                <w:highlight w:val="none"/>
                <w:lang w:eastAsia="zh-CN"/>
              </w:rPr>
              <w:t xml:space="preserve">术需求或服务要求</w:t>
            </w:r>
            <w:r/>
          </w:p>
        </w:tc>
      </w:tr>
      <w:tr>
        <w:trPr>
          <w:trHeight w:val="454"/>
        </w:trPr>
        <w:tc>
          <w:tcPr>
            <w:tcW w:w="681" w:type="dxa"/>
            <w:vAlign w:val="center"/>
            <w:textDirection w:val="lrTb"/>
            <w:noWrap w:val="false"/>
          </w:tcPr>
          <w:p>
            <w:pPr>
              <w:jc w:val="center"/>
              <w:rPr>
                <w:bCs/>
                <w:szCs w:val="21"/>
                <w:highlight w:val="none"/>
              </w:rPr>
            </w:pPr>
            <w:r>
              <w:rPr>
                <w:bCs/>
                <w:szCs w:val="21"/>
                <w:highlight w:val="none"/>
              </w:rPr>
              <w:t xml:space="preserve">01</w:t>
            </w:r>
            <w:r/>
          </w:p>
        </w:tc>
        <w:tc>
          <w:tcPr>
            <w:tcW w:w="2481" w:type="dxa"/>
            <w:vAlign w:val="center"/>
            <w:textDirection w:val="lrTb"/>
            <w:noWrap w:val="false"/>
          </w:tcPr>
          <w:p>
            <w:pPr>
              <w:jc w:val="center"/>
              <w:rPr>
                <w:rFonts w:hint="eastAsia" w:eastAsia="宋体"/>
                <w:bCs/>
                <w:szCs w:val="21"/>
                <w:highlight w:val="none"/>
                <w:lang w:eastAsia="zh-CN"/>
              </w:rPr>
            </w:pPr>
            <w:r>
              <w:rPr>
                <w:rFonts w:hint="eastAsia" w:eastAsia="宋体"/>
                <w:bCs/>
                <w:szCs w:val="21"/>
                <w:highlight w:val="none"/>
                <w:lang w:eastAsia="zh-CN"/>
              </w:rPr>
            </w:r>
            <w:r/>
          </w:p>
          <w:p>
            <w:pPr>
              <w:jc w:val="center"/>
              <w:rPr>
                <w:rFonts w:hint="default" w:eastAsia="宋体"/>
                <w:bCs/>
                <w:szCs w:val="21"/>
                <w:highlight w:val="none"/>
                <w:lang w:val="en-US" w:eastAsia="zh-CN"/>
              </w:rPr>
            </w:pPr>
            <w:r>
              <w:rPr>
                <w:rFonts w:hint="eastAsia" w:eastAsia="宋体"/>
                <w:sz w:val="24"/>
                <w:highlight w:val="none"/>
                <w:lang w:eastAsia="zh-CN"/>
              </w:rPr>
              <w:t xml:space="preserve">曹山旅游度假区道路、停车场、厕所保洁服务项目</w:t>
            </w:r>
            <w:r/>
          </w:p>
        </w:tc>
        <w:tc>
          <w:tcPr>
            <w:tcW w:w="2043" w:type="dxa"/>
            <w:vAlign w:val="center"/>
            <w:textDirection w:val="lrTb"/>
            <w:noWrap w:val="false"/>
          </w:tcPr>
          <w:p>
            <w:pPr>
              <w:jc w:val="center"/>
              <w:rPr>
                <w:rFonts w:hint="default" w:ascii="Times New Roman" w:hAnsi="Times New Roman" w:eastAsia="宋体" w:cs="Times New Roman"/>
                <w:sz w:val="24"/>
                <w:highlight w:val="none"/>
                <w:lang w:val="en-US" w:eastAsia="zh-CN"/>
              </w:rPr>
            </w:pPr>
            <w:r>
              <w:rPr>
                <w:rFonts w:hint="eastAsia" w:cs="Times New Roman"/>
                <w:sz w:val="24"/>
                <w:highlight w:val="none"/>
                <w:lang w:val="en-US" w:eastAsia="zh-CN"/>
              </w:rPr>
              <w:t xml:space="preserve">108.38</w:t>
            </w:r>
            <w:r/>
          </w:p>
        </w:tc>
        <w:tc>
          <w:tcPr>
            <w:tcW w:w="833" w:type="dxa"/>
            <w:vAlign w:val="center"/>
            <w:textDirection w:val="lrTb"/>
            <w:noWrap w:val="false"/>
          </w:tcPr>
          <w:p>
            <w:pPr>
              <w:jc w:val="center"/>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eastAsia="zh-CN"/>
              </w:rPr>
              <w:t xml:space="preserve">1</w:t>
            </w:r>
            <w:r/>
          </w:p>
        </w:tc>
        <w:tc>
          <w:tcPr>
            <w:tcW w:w="3045" w:type="dxa"/>
            <w:vAlign w:val="center"/>
            <w:textDirection w:val="lrTb"/>
            <w:noWrap w:val="false"/>
          </w:tcPr>
          <w:p>
            <w:pPr>
              <w:jc w:val="center"/>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val="en-US" w:eastAsia="zh-CN"/>
              </w:rPr>
              <w:t xml:space="preserve">对曹山旅游度假区内道路、停车场、厕所进行卫生保洁管理。达到旅游及参观的高标准要求。</w:t>
            </w:r>
            <w:r/>
          </w:p>
        </w:tc>
      </w:tr>
      <w:tr>
        <w:trPr>
          <w:trHeight w:val="454"/>
        </w:trPr>
        <w:tc>
          <w:tcPr>
            <w:tcW w:w="681" w:type="dxa"/>
            <w:vAlign w:val="center"/>
            <w:textDirection w:val="lrTb"/>
            <w:noWrap w:val="false"/>
          </w:tcPr>
          <w:p>
            <w:pPr>
              <w:jc w:val="center"/>
              <w:rPr>
                <w:rFonts w:hint="default" w:eastAsia="宋体"/>
                <w:bCs/>
                <w:szCs w:val="21"/>
                <w:highlight w:val="none"/>
                <w:lang w:val="en-US" w:eastAsia="zh-CN"/>
              </w:rPr>
            </w:pPr>
            <w:r>
              <w:rPr>
                <w:rFonts w:hint="eastAsia"/>
                <w:bCs/>
                <w:szCs w:val="21"/>
                <w:highlight w:val="none"/>
                <w:lang w:val="en-US" w:eastAsia="zh-CN"/>
              </w:rPr>
              <w:t xml:space="preserve">02</w:t>
            </w:r>
            <w:r/>
          </w:p>
        </w:tc>
        <w:tc>
          <w:tcPr>
            <w:tcW w:w="2481" w:type="dxa"/>
            <w:vAlign w:val="center"/>
            <w:textDirection w:val="lrTb"/>
            <w:noWrap w:val="false"/>
          </w:tcPr>
          <w:p>
            <w:pPr>
              <w:jc w:val="center"/>
              <w:rPr>
                <w:rFonts w:hint="default"/>
                <w:sz w:val="24"/>
                <w:highlight w:val="none"/>
                <w:lang w:val="en-US" w:eastAsia="zh-CN"/>
              </w:rPr>
            </w:pPr>
            <w:r>
              <w:rPr>
                <w:rFonts w:hint="eastAsia" w:eastAsia="宋体"/>
                <w:sz w:val="24"/>
                <w:highlight w:val="none"/>
                <w:lang w:eastAsia="zh-CN"/>
              </w:rPr>
              <w:t xml:space="preserve">曹山旅游度假区</w:t>
            </w:r>
            <w:r>
              <w:rPr>
                <w:rFonts w:hint="eastAsia" w:eastAsia="宋体"/>
                <w:sz w:val="24"/>
                <w:highlight w:val="none"/>
                <w:lang w:val="en-US" w:eastAsia="zh-CN"/>
              </w:rPr>
              <w:t xml:space="preserve">美音茶园及</w:t>
            </w:r>
            <w:r>
              <w:rPr>
                <w:rFonts w:hint="eastAsia" w:eastAsia="宋体"/>
                <w:sz w:val="24"/>
                <w:highlight w:val="none"/>
                <w:lang w:eastAsia="zh-CN"/>
              </w:rPr>
              <w:t xml:space="preserve">牛马塘村庄保洁服务项目</w:t>
            </w:r>
            <w:r/>
          </w:p>
        </w:tc>
        <w:tc>
          <w:tcPr>
            <w:tcW w:w="2043" w:type="dxa"/>
            <w:vAlign w:val="center"/>
            <w:textDirection w:val="lrTb"/>
            <w:noWrap w:val="false"/>
          </w:tcPr>
          <w:p>
            <w:pPr>
              <w:jc w:val="center"/>
              <w:rPr>
                <w:rFonts w:hint="default" w:ascii="Times New Roman" w:hAnsi="Times New Roman" w:eastAsia="宋体" w:cs="Times New Roman"/>
                <w:sz w:val="24"/>
                <w:highlight w:val="none"/>
                <w:lang w:val="en-US" w:eastAsia="zh-CN"/>
              </w:rPr>
            </w:pPr>
            <w:r>
              <w:rPr>
                <w:rFonts w:hint="eastAsia" w:cs="Times New Roman"/>
                <w:sz w:val="24"/>
                <w:highlight w:val="none"/>
                <w:lang w:val="en-US" w:eastAsia="zh-CN"/>
              </w:rPr>
              <w:t xml:space="preserve">53.69</w:t>
            </w:r>
            <w:r/>
          </w:p>
        </w:tc>
        <w:tc>
          <w:tcPr>
            <w:tcW w:w="833" w:type="dxa"/>
            <w:vAlign w:val="center"/>
            <w:textDirection w:val="lrTb"/>
            <w:noWrap w:val="false"/>
          </w:tcPr>
          <w:p>
            <w:pPr>
              <w:jc w:val="center"/>
              <w:rPr>
                <w:rFonts w:hint="default" w:ascii="Times New Roman" w:hAnsi="Times New Roman" w:eastAsia="宋体" w:cs="Times New Roman"/>
                <w:sz w:val="24"/>
                <w:highlight w:val="none"/>
                <w:lang w:val="en-US" w:eastAsia="zh-CN"/>
              </w:rPr>
            </w:pPr>
            <w:r>
              <w:rPr>
                <w:rFonts w:hint="eastAsia" w:cs="Times New Roman"/>
                <w:sz w:val="24"/>
                <w:highlight w:val="none"/>
                <w:lang w:val="en-US" w:eastAsia="zh-CN"/>
              </w:rPr>
              <w:t xml:space="preserve">1</w:t>
            </w:r>
            <w:r/>
          </w:p>
        </w:tc>
        <w:tc>
          <w:tcPr>
            <w:tcW w:w="3045" w:type="dxa"/>
            <w:vAlign w:val="center"/>
            <w:textDirection w:val="lrTb"/>
            <w:noWrap w:val="false"/>
          </w:tcPr>
          <w:p>
            <w:pPr>
              <w:jc w:val="center"/>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对美音茶园景区、牛马塘整个村庄、曹山花坊景区进行卫生保洁管理，米，达到旅游及参观的高标准要求。</w:t>
            </w:r>
            <w:r/>
          </w:p>
        </w:tc>
      </w:tr>
    </w:tbl>
    <w:p>
      <w:pPr>
        <w:ind w:firstLine="480"/>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注：本项目共分</w:t>
      </w:r>
      <w:r>
        <w:rPr>
          <w:rFonts w:hint="eastAsia" w:ascii="Times New Roman" w:hAnsi="Times New Roman" w:eastAsia="宋体" w:cs="Times New Roman"/>
          <w:sz w:val="24"/>
          <w:lang w:val="en-US" w:eastAsia="zh-CN"/>
        </w:rPr>
        <w:t xml:space="preserve">两个采购包</w:t>
      </w:r>
      <w:r>
        <w:rPr>
          <w:rFonts w:hint="eastAsia" w:ascii="Times New Roman" w:hAnsi="Times New Roman" w:eastAsia="宋体" w:cs="Times New Roman"/>
          <w:sz w:val="24"/>
        </w:rPr>
        <w:t xml:space="preserve">，供应商可对本次采购项目中的一个</w:t>
      </w:r>
      <w:r>
        <w:rPr>
          <w:rFonts w:hint="eastAsia" w:ascii="Times New Roman" w:hAnsi="Times New Roman" w:eastAsia="宋体" w:cs="Times New Roman"/>
          <w:sz w:val="24"/>
          <w:lang w:val="en-US" w:eastAsia="zh-CN"/>
        </w:rPr>
        <w:t xml:space="preserve">采购包</w:t>
      </w:r>
      <w:r>
        <w:rPr>
          <w:rFonts w:hint="eastAsia" w:ascii="Times New Roman" w:hAnsi="Times New Roman" w:eastAsia="宋体" w:cs="Times New Roman"/>
          <w:sz w:val="24"/>
        </w:rPr>
        <w:t xml:space="preserve">或全部</w:t>
      </w:r>
      <w:r>
        <w:rPr>
          <w:rFonts w:hint="eastAsia" w:ascii="Times New Roman" w:hAnsi="Times New Roman" w:eastAsia="宋体" w:cs="Times New Roman"/>
          <w:sz w:val="24"/>
          <w:lang w:val="en-US" w:eastAsia="zh-CN"/>
        </w:rPr>
        <w:t xml:space="preserve">采购包</w:t>
      </w:r>
      <w:r>
        <w:rPr>
          <w:rFonts w:hint="eastAsia" w:ascii="Times New Roman" w:hAnsi="Times New Roman" w:eastAsia="宋体" w:cs="Times New Roman"/>
          <w:sz w:val="24"/>
        </w:rPr>
        <w:t xml:space="preserve">进行投标，每个投标人仅限中一个</w:t>
      </w:r>
      <w:r>
        <w:rPr>
          <w:rFonts w:hint="eastAsia" w:ascii="Times New Roman" w:hAnsi="Times New Roman" w:eastAsia="宋体" w:cs="Times New Roman"/>
          <w:sz w:val="24"/>
          <w:lang w:val="en-US" w:eastAsia="zh-CN"/>
        </w:rPr>
        <w:t xml:space="preserve">采购包</w:t>
      </w:r>
      <w:r>
        <w:rPr>
          <w:rFonts w:hint="eastAsia" w:ascii="Times New Roman" w:hAnsi="Times New Roman" w:eastAsia="宋体" w:cs="Times New Roman"/>
          <w:sz w:val="24"/>
        </w:rPr>
        <w:t xml:space="preserve">。</w:t>
      </w:r>
      <w:r>
        <w:rPr>
          <w:rFonts w:hint="eastAsia" w:ascii="Times New Roman" w:hAnsi="Times New Roman" w:eastAsia="宋体" w:cs="Times New Roman"/>
          <w:sz w:val="24"/>
          <w:lang w:val="en-US" w:eastAsia="zh-CN"/>
        </w:rPr>
        <w:t xml:space="preserve">两个采购包</w:t>
      </w:r>
      <w:r>
        <w:rPr>
          <w:rFonts w:hint="eastAsia" w:ascii="Times New Roman" w:hAnsi="Times New Roman" w:eastAsia="宋体" w:cs="Times New Roman"/>
          <w:sz w:val="24"/>
        </w:rPr>
        <w:t xml:space="preserve">同时评审，按</w:t>
      </w:r>
      <w:r>
        <w:rPr>
          <w:rFonts w:hint="eastAsia" w:ascii="Times New Roman" w:hAnsi="Times New Roman" w:eastAsia="宋体" w:cs="Times New Roman"/>
          <w:sz w:val="24"/>
          <w:lang w:val="en-US" w:eastAsia="zh-CN"/>
        </w:rPr>
        <w:t xml:space="preserve">采购包1</w:t>
      </w:r>
      <w:r>
        <w:rPr>
          <w:rFonts w:hint="eastAsia" w:ascii="Times New Roman" w:hAnsi="Times New Roman" w:eastAsia="宋体" w:cs="Times New Roman"/>
          <w:sz w:val="24"/>
        </w:rPr>
        <w:t xml:space="preserve">、</w:t>
      </w:r>
      <w:r>
        <w:rPr>
          <w:rFonts w:hint="eastAsia" w:ascii="Times New Roman" w:hAnsi="Times New Roman" w:eastAsia="宋体" w:cs="Times New Roman"/>
          <w:sz w:val="24"/>
          <w:lang w:val="en-US" w:eastAsia="zh-CN"/>
        </w:rPr>
        <w:t xml:space="preserve">采购包2</w:t>
      </w:r>
      <w:r>
        <w:rPr>
          <w:rFonts w:hint="eastAsia" w:ascii="Times New Roman" w:hAnsi="Times New Roman" w:eastAsia="宋体" w:cs="Times New Roman"/>
          <w:sz w:val="24"/>
        </w:rPr>
        <w:t xml:space="preserve">的顺序依次确定中标人，当出现</w:t>
      </w:r>
      <w:r>
        <w:rPr>
          <w:rFonts w:hint="eastAsia" w:ascii="Times New Roman" w:hAnsi="Times New Roman" w:eastAsia="宋体" w:cs="Times New Roman"/>
          <w:sz w:val="24"/>
          <w:lang w:val="en-US" w:eastAsia="zh-CN"/>
        </w:rPr>
        <w:t xml:space="preserve">两</w:t>
      </w:r>
      <w:r>
        <w:rPr>
          <w:rFonts w:hint="eastAsia" w:ascii="Times New Roman" w:hAnsi="Times New Roman" w:eastAsia="宋体" w:cs="Times New Roman"/>
          <w:sz w:val="24"/>
        </w:rPr>
        <w:t xml:space="preserve">个</w:t>
      </w:r>
      <w:r>
        <w:rPr>
          <w:rFonts w:hint="eastAsia" w:ascii="Times New Roman" w:hAnsi="Times New Roman" w:eastAsia="宋体" w:cs="Times New Roman"/>
          <w:sz w:val="24"/>
          <w:lang w:val="en-US" w:eastAsia="zh-CN"/>
        </w:rPr>
        <w:t xml:space="preserve">采购包</w:t>
      </w:r>
      <w:r>
        <w:rPr>
          <w:rFonts w:hint="eastAsia" w:ascii="Times New Roman" w:hAnsi="Times New Roman" w:eastAsia="宋体" w:cs="Times New Roman"/>
          <w:sz w:val="24"/>
        </w:rPr>
        <w:t xml:space="preserve">第一中标候选人为同一单位时，按项目</w:t>
      </w:r>
      <w:r>
        <w:rPr>
          <w:rFonts w:hint="eastAsia" w:ascii="Times New Roman" w:hAnsi="Times New Roman" w:eastAsia="宋体" w:cs="Times New Roman"/>
          <w:sz w:val="24"/>
          <w:lang w:val="en-US" w:eastAsia="zh-CN"/>
        </w:rPr>
        <w:t xml:space="preserve">采购包</w:t>
      </w:r>
      <w:r>
        <w:rPr>
          <w:rFonts w:hint="eastAsia" w:ascii="Times New Roman" w:hAnsi="Times New Roman" w:eastAsia="宋体" w:cs="Times New Roman"/>
          <w:sz w:val="24"/>
        </w:rPr>
        <w:t xml:space="preserve">号顺序确定中标</w:t>
      </w:r>
      <w:r>
        <w:rPr>
          <w:rFonts w:hint="eastAsia" w:ascii="Times New Roman" w:hAnsi="Times New Roman" w:eastAsia="宋体" w:cs="Times New Roman"/>
          <w:sz w:val="24"/>
          <w:lang w:val="en-US" w:eastAsia="zh-CN"/>
        </w:rPr>
        <w:t xml:space="preserve">采购包</w:t>
      </w:r>
      <w:r>
        <w:rPr>
          <w:rFonts w:hint="eastAsia" w:ascii="Times New Roman" w:hAnsi="Times New Roman" w:eastAsia="宋体" w:cs="Times New Roman"/>
          <w:sz w:val="24"/>
        </w:rPr>
        <w:t xml:space="preserve">，其他</w:t>
      </w:r>
      <w:r>
        <w:rPr>
          <w:rFonts w:hint="eastAsia" w:ascii="Times New Roman" w:hAnsi="Times New Roman" w:eastAsia="宋体" w:cs="Times New Roman"/>
          <w:sz w:val="24"/>
          <w:lang w:val="en-US" w:eastAsia="zh-CN"/>
        </w:rPr>
        <w:t xml:space="preserve">采购包</w:t>
      </w:r>
      <w:r>
        <w:rPr>
          <w:rFonts w:hint="eastAsia" w:ascii="Times New Roman" w:hAnsi="Times New Roman" w:eastAsia="宋体" w:cs="Times New Roman"/>
          <w:sz w:val="24"/>
        </w:rPr>
        <w:t xml:space="preserve">的中标候选资格自动失效，由该</w:t>
      </w:r>
      <w:r>
        <w:rPr>
          <w:rFonts w:hint="eastAsia" w:ascii="Times New Roman" w:hAnsi="Times New Roman" w:eastAsia="宋体" w:cs="Times New Roman"/>
          <w:sz w:val="24"/>
          <w:lang w:val="en-US" w:eastAsia="zh-CN"/>
        </w:rPr>
        <w:t xml:space="preserve">采购包</w:t>
      </w:r>
      <w:r>
        <w:rPr>
          <w:rFonts w:hint="eastAsia" w:ascii="Times New Roman" w:hAnsi="Times New Roman" w:eastAsia="宋体" w:cs="Times New Roman"/>
          <w:sz w:val="24"/>
        </w:rPr>
        <w:t xml:space="preserve">的第二中标候选人自动升为第一中标候选人。</w:t>
      </w:r>
      <w:r/>
    </w:p>
    <w:p>
      <w:pPr>
        <w:ind w:firstLine="480"/>
        <w:spacing w:line="360" w:lineRule="auto"/>
        <w:rPr>
          <w:rFonts w:hint="eastAsia" w:eastAsia="宋体"/>
          <w:sz w:val="24"/>
          <w:highlight w:val="yellow"/>
          <w:u w:val="single"/>
          <w:lang w:eastAsia="zh-CN"/>
        </w:rPr>
      </w:pPr>
      <w:r>
        <w:rPr>
          <w:rFonts w:hint="eastAsia"/>
          <w:sz w:val="24"/>
          <w:lang w:val="en-US" w:eastAsia="zh-CN"/>
        </w:rPr>
        <w:t xml:space="preserve">7</w:t>
      </w:r>
      <w:r>
        <w:rPr>
          <w:sz w:val="24"/>
        </w:rPr>
        <w:t xml:space="preserve">.合同履行</w:t>
      </w:r>
      <w:r>
        <w:rPr>
          <w:sz w:val="24"/>
          <w:highlight w:val="none"/>
        </w:rPr>
        <w:t xml:space="preserve">期限：</w:t>
      </w:r>
      <w:r>
        <w:rPr>
          <w:rFonts w:hint="eastAsia"/>
          <w:sz w:val="24"/>
          <w:highlight w:val="none"/>
          <w:lang w:val="en-US" w:eastAsia="zh-CN"/>
        </w:rPr>
        <w:t xml:space="preserve">一年</w:t>
      </w:r>
      <w:r/>
    </w:p>
    <w:p>
      <w:pPr>
        <w:ind w:firstLine="480"/>
        <w:spacing w:line="360" w:lineRule="auto"/>
        <w:rPr>
          <w:sz w:val="24"/>
        </w:rPr>
      </w:pPr>
      <w:r>
        <w:rPr>
          <w:rFonts w:hint="eastAsia"/>
          <w:sz w:val="24"/>
          <w:lang w:val="en-US" w:eastAsia="zh-CN"/>
        </w:rPr>
        <w:t xml:space="preserve">8</w:t>
      </w:r>
      <w:r>
        <w:rPr>
          <w:sz w:val="24"/>
        </w:rPr>
        <w:t xml:space="preserve">.本项目是否接受联合体：否。</w:t>
      </w:r>
      <w:r/>
    </w:p>
    <w:p>
      <w:pPr>
        <w:ind w:firstLine="480"/>
        <w:spacing w:line="360" w:lineRule="auto"/>
        <w:rPr>
          <w:sz w:val="24"/>
        </w:rPr>
      </w:pPr>
      <w:r/>
      <w:bookmarkStart w:id="7" w:name="_Toc28359080"/>
      <w:r/>
      <w:bookmarkStart w:id="8" w:name="_Toc35393622"/>
      <w:r/>
      <w:bookmarkStart w:id="9" w:name="_Toc35393791"/>
      <w:r/>
      <w:bookmarkStart w:id="10" w:name="_Toc28359003"/>
      <w:r>
        <w:rPr>
          <w:rFonts w:hint="eastAsia"/>
          <w:sz w:val="24"/>
          <w:lang w:val="en-US" w:eastAsia="zh-CN"/>
        </w:rPr>
        <w:t xml:space="preserve">9</w:t>
      </w:r>
      <w:r>
        <w:rPr>
          <w:rFonts w:hint="eastAsia"/>
          <w:sz w:val="24"/>
        </w:rPr>
        <w:t xml:space="preserve">.</w:t>
      </w:r>
      <w:r>
        <w:rPr>
          <w:sz w:val="24"/>
        </w:rPr>
        <w:t xml:space="preserve">本项目是否接受</w:t>
      </w:r>
      <w:r>
        <w:rPr>
          <w:rFonts w:hint="eastAsia"/>
          <w:sz w:val="24"/>
        </w:rPr>
        <w:t xml:space="preserve">进口产品响应</w:t>
      </w:r>
      <w:r>
        <w:rPr>
          <w:sz w:val="24"/>
        </w:rPr>
        <w:t xml:space="preserve">：否。</w:t>
      </w:r>
      <w:r/>
    </w:p>
    <w:p>
      <w:pPr>
        <w:pStyle w:val="1033"/>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二、申请人的资格要求（须同时满足）</w:t>
      </w:r>
      <w:bookmarkEnd w:id="7"/>
      <w:r/>
      <w:bookmarkEnd w:id="8"/>
      <w:r/>
      <w:bookmarkEnd w:id="9"/>
      <w:r/>
      <w:bookmarkEnd w:id="10"/>
      <w:r/>
      <w:r/>
    </w:p>
    <w:p>
      <w:pPr>
        <w:ind w:firstLine="480"/>
        <w:spacing w:line="360" w:lineRule="auto"/>
        <w:rPr>
          <w:rFonts w:hint="eastAsia"/>
          <w:sz w:val="24"/>
        </w:rPr>
      </w:pPr>
      <w:r/>
      <w:bookmarkStart w:id="11" w:name="_Toc28359081"/>
      <w:r/>
      <w:bookmarkStart w:id="12" w:name="_Toc28359004"/>
      <w:r>
        <w:rPr>
          <w:sz w:val="24"/>
        </w:rPr>
        <w:t xml:space="preserve">1.满足《中华人民共和国政府采购法》第二十二条规定</w:t>
      </w:r>
      <w:r>
        <w:rPr>
          <w:rFonts w:hint="eastAsia"/>
          <w:sz w:val="24"/>
        </w:rPr>
        <w:t xml:space="preserve">以及下列情形：</w:t>
      </w:r>
      <w:r/>
    </w:p>
    <w:p>
      <w:pPr>
        <w:ind w:firstLine="480"/>
        <w:spacing w:line="360" w:lineRule="auto"/>
        <w:rPr>
          <w:sz w:val="24"/>
        </w:rPr>
      </w:pPr>
      <w:r>
        <w:rPr>
          <w:rFonts w:hint="eastAsia"/>
          <w:sz w:val="24"/>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sz w:val="24"/>
        </w:rPr>
      </w:pPr>
      <w:r>
        <w:rPr>
          <w:rFonts w:hint="eastAsia"/>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sz w:val="24"/>
        </w:rPr>
      </w:pPr>
      <w:r>
        <w:rPr>
          <w:sz w:val="24"/>
        </w:rPr>
        <w:t xml:space="preserve">2.落实政府采购政策需满足的资格要求：</w:t>
      </w:r>
      <w:r/>
    </w:p>
    <w:p>
      <w:pPr>
        <w:ind w:firstLine="480"/>
        <w:spacing w:line="360" w:lineRule="auto"/>
        <w:rPr>
          <w:sz w:val="24"/>
        </w:rPr>
      </w:pPr>
      <w:r>
        <w:rPr>
          <w:sz w:val="24"/>
        </w:rPr>
        <w:t xml:space="preserve">2.1 中小企业政策</w:t>
      </w:r>
      <w:r/>
    </w:p>
    <w:p>
      <w:pPr>
        <w:ind w:firstLine="482"/>
        <w:spacing w:line="360" w:lineRule="auto"/>
        <w:rPr>
          <w:sz w:val="24"/>
        </w:rPr>
      </w:pPr>
      <w:r>
        <w:rPr>
          <w:b/>
          <w:bCs/>
          <w:sz w:val="24"/>
        </w:rPr>
        <w:t xml:space="preserve">本项目专门面向  中小企业  采购。</w:t>
      </w:r>
      <w:r>
        <w:rPr>
          <w:sz w:val="24"/>
        </w:rPr>
        <w:t xml:space="preserve">即：提供的货物全部由符合政策要求的中小企业制造、服务全部由符合政策要求的中小企业承接。</w:t>
      </w:r>
      <w:r/>
    </w:p>
    <w:p>
      <w:pPr>
        <w:ind w:firstLine="480"/>
        <w:spacing w:line="360" w:lineRule="auto"/>
        <w:rPr>
          <w:sz w:val="24"/>
        </w:rPr>
      </w:pPr>
      <w:r>
        <w:rPr>
          <w:sz w:val="24"/>
        </w:rPr>
        <w:t xml:space="preserve">2.2 其它落实政府采购政策的资格要求（如有）：</w:t>
      </w:r>
      <w:r>
        <w:rPr>
          <w:rFonts w:hint="eastAsia"/>
          <w:sz w:val="24"/>
          <w:lang w:val="en-US" w:eastAsia="zh-CN"/>
        </w:rPr>
        <w:t xml:space="preserve">/</w:t>
      </w:r>
      <w:r>
        <w:rPr>
          <w:rFonts w:hint="eastAsia"/>
          <w:sz w:val="24"/>
        </w:rPr>
        <w:t xml:space="preserve">。</w:t>
      </w:r>
      <w:r/>
    </w:p>
    <w:p>
      <w:pPr>
        <w:ind w:firstLine="480"/>
        <w:spacing w:line="360" w:lineRule="auto"/>
        <w:rPr>
          <w:i/>
          <w:iCs/>
          <w:sz w:val="24"/>
          <w:u w:val="single"/>
        </w:rPr>
      </w:pPr>
      <w:r>
        <w:rPr>
          <w:sz w:val="24"/>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3.1本项目是否接受分支机构参与响应：否</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3.2 本项目是否属于政府购买服务：否</w:t>
      </w:r>
      <w:r/>
    </w:p>
    <w:p>
      <w:pPr>
        <w:ind w:firstLine="480"/>
        <w:spacing w:line="360" w:lineRule="auto"/>
        <w:tabs>
          <w:tab w:val="left" w:pos="900" w:leader="none"/>
          <w:tab w:val="left" w:pos="1134" w:leader="none"/>
          <w:tab w:val="left" w:pos="1589" w:leader="none"/>
          <w:tab w:val="left" w:pos="5521" w:leader="none"/>
        </w:tabs>
        <w:rPr>
          <w:rFonts w:hint="eastAsia" w:eastAsia="宋体"/>
          <w:sz w:val="24"/>
          <w:lang w:eastAsia="zh-CN"/>
        </w:rPr>
      </w:pPr>
      <w:r>
        <w:rPr>
          <w:sz w:val="24"/>
        </w:rPr>
        <w:t xml:space="preserve">3.3其他特定资格要求：</w:t>
      </w:r>
      <w:r>
        <w:rPr>
          <w:rFonts w:hint="eastAsia"/>
          <w:sz w:val="24"/>
          <w:lang w:val="en-US" w:eastAsia="zh-CN"/>
        </w:rPr>
        <w:t xml:space="preserve">/</w:t>
      </w:r>
      <w:bookmarkEnd w:id="11"/>
      <w:r/>
      <w:bookmarkEnd w:id="12"/>
      <w:r/>
      <w:r/>
    </w:p>
    <w:p>
      <w:pPr>
        <w:pStyle w:val="1033"/>
        <w:jc w:val="left"/>
        <w:spacing w:before="0" w:line="360" w:lineRule="auto"/>
        <w:widowControl/>
        <w:rPr>
          <w:rFonts w:ascii="Times New Roman" w:hAnsi="Times New Roman" w:eastAsia="宋体"/>
          <w:sz w:val="24"/>
          <w:szCs w:val="24"/>
        </w:rPr>
      </w:pPr>
      <w:r/>
      <w:bookmarkStart w:id="13" w:name="_Toc35393623"/>
      <w:r/>
      <w:bookmarkStart w:id="14" w:name="_Toc35393792"/>
      <w:r>
        <w:rPr>
          <w:rFonts w:ascii="Times New Roman" w:hAnsi="Times New Roman" w:eastAsia="宋体"/>
          <w:sz w:val="24"/>
          <w:szCs w:val="24"/>
        </w:rPr>
        <w:t xml:space="preserve">三、获取采购文件</w:t>
      </w:r>
      <w:bookmarkEnd w:id="13"/>
      <w:r/>
      <w:bookmarkEnd w:id="14"/>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1.时间：</w:t>
      </w:r>
      <w:r>
        <w:rPr>
          <w:rFonts w:hint="eastAsia"/>
          <w:sz w:val="24"/>
        </w:rPr>
        <w:t xml:space="preserve">自磋商文件公告发布之日起5个工作日</w:t>
      </w:r>
      <w:r/>
    </w:p>
    <w:p>
      <w:pPr>
        <w:ind w:firstLine="480"/>
        <w:spacing w:line="360" w:lineRule="auto"/>
        <w:tabs>
          <w:tab w:val="left" w:pos="900" w:leader="none"/>
          <w:tab w:val="left" w:pos="1134" w:leader="none"/>
          <w:tab w:val="left" w:pos="1589" w:leader="none"/>
          <w:tab w:val="left" w:pos="5521" w:leader="none"/>
        </w:tabs>
        <w:rPr>
          <w:sz w:val="24"/>
        </w:rPr>
      </w:pPr>
      <w:r/>
      <w:bookmarkStart w:id="15" w:name="_Toc28359082"/>
      <w:r/>
      <w:bookmarkStart w:id="16" w:name="_Toc28359005"/>
      <w:r/>
      <w:bookmarkStart w:id="17" w:name="_Toc35393624"/>
      <w:r/>
      <w:bookmarkStart w:id="18" w:name="_Toc35393793"/>
      <w:r>
        <w:rPr>
          <w:rFonts w:hint="eastAsia"/>
          <w:sz w:val="24"/>
          <w:lang w:val="en-US" w:eastAsia="zh-CN"/>
        </w:rPr>
        <w:t xml:space="preserve">2.</w:t>
      </w:r>
      <w:r>
        <w:rPr>
          <w:sz w:val="24"/>
        </w:rPr>
        <w:t xml:space="preserve">地点：</w:t>
      </w:r>
      <w:r>
        <w:rPr>
          <w:rFonts w:hint="eastAsia"/>
          <w:sz w:val="24"/>
        </w:rPr>
        <w:t xml:space="preserve">“苏采云”政府采购一体化平台 </w:t>
      </w:r>
      <w:r/>
    </w:p>
    <w:p>
      <w:pPr>
        <w:ind w:firstLine="480"/>
        <w:spacing w:line="360" w:lineRule="auto"/>
        <w:tabs>
          <w:tab w:val="left" w:pos="900" w:leader="none"/>
          <w:tab w:val="left" w:pos="1134" w:leader="none"/>
          <w:tab w:val="left" w:pos="1589" w:leader="none"/>
          <w:tab w:val="left" w:pos="5521" w:leader="none"/>
        </w:tabs>
        <w:rPr>
          <w:rFonts w:hint="eastAsia"/>
          <w:sz w:val="24"/>
        </w:rPr>
      </w:pPr>
      <w:r>
        <w:rPr>
          <w:rFonts w:hint="eastAsia"/>
          <w:sz w:val="24"/>
          <w:lang w:val="en-US" w:eastAsia="zh-CN"/>
        </w:rPr>
        <w:t xml:space="preserve">3.</w:t>
      </w:r>
      <w:r>
        <w:rPr>
          <w:rFonts w:hint="eastAsia"/>
          <w:sz w:val="24"/>
        </w:rPr>
        <w:t xml:space="preserve">方式：供应商持CA数字认证证书登录“苏采云”政府采购一体化平台（http//jszfcg.jsczt.cn/jszc/login）获取电子版磋商文件。 </w:t>
      </w:r>
      <w:r/>
    </w:p>
    <w:p>
      <w:pPr>
        <w:ind w:firstLine="480"/>
        <w:spacing w:line="360" w:lineRule="auto"/>
        <w:tabs>
          <w:tab w:val="left" w:pos="900" w:leader="none"/>
          <w:tab w:val="left" w:pos="1134" w:leader="none"/>
          <w:tab w:val="left" w:pos="1589" w:leader="none"/>
          <w:tab w:val="left" w:pos="5521" w:leader="none"/>
        </w:tabs>
        <w:rPr>
          <w:rFonts w:hint="eastAsia"/>
          <w:sz w:val="24"/>
        </w:rPr>
      </w:pPr>
      <w:r>
        <w:rPr>
          <w:rFonts w:hint="eastAsia"/>
          <w:sz w:val="24"/>
          <w:lang w:val="en-US" w:eastAsia="zh-CN"/>
        </w:rPr>
        <w:t xml:space="preserve">4.</w:t>
      </w:r>
      <w:r>
        <w:rPr>
          <w:rFonts w:hint="eastAsia"/>
          <w:sz w:val="24"/>
        </w:rPr>
        <w:t xml:space="preserve">售价：0.00元 </w:t>
      </w:r>
      <w:r/>
    </w:p>
    <w:p>
      <w:pPr>
        <w:pStyle w:val="1033"/>
        <w:jc w:val="left"/>
        <w:spacing w:before="0" w:line="360" w:lineRule="auto"/>
        <w:widowControl/>
        <w:rPr>
          <w:rFonts w:ascii="Times New Roman" w:hAnsi="Times New Roman" w:eastAsia="宋体"/>
          <w:sz w:val="24"/>
          <w:szCs w:val="24"/>
        </w:rPr>
      </w:pPr>
      <w:r>
        <w:rPr>
          <w:rFonts w:ascii="Times New Roman" w:hAnsi="Times New Roman" w:eastAsia="宋体"/>
          <w:sz w:val="24"/>
          <w:szCs w:val="24"/>
        </w:rPr>
        <w:t xml:space="preserve">四、</w:t>
      </w:r>
      <w:bookmarkEnd w:id="15"/>
      <w:r/>
      <w:bookmarkEnd w:id="16"/>
      <w:r/>
      <w:bookmarkEnd w:id="17"/>
      <w:r/>
      <w:bookmarkEnd w:id="18"/>
      <w:r>
        <w:rPr>
          <w:rFonts w:ascii="Times New Roman" w:hAnsi="Times New Roman" w:eastAsia="宋体"/>
          <w:sz w:val="24"/>
          <w:szCs w:val="24"/>
        </w:rPr>
        <w:t xml:space="preserve">响应文件提交</w:t>
      </w:r>
      <w:r/>
    </w:p>
    <w:p>
      <w:pPr>
        <w:ind w:firstLine="480"/>
        <w:spacing w:line="360" w:lineRule="auto"/>
        <w:tabs>
          <w:tab w:val="left" w:pos="900" w:leader="none"/>
          <w:tab w:val="left" w:pos="1134" w:leader="none"/>
          <w:tab w:val="left" w:pos="1589" w:leader="none"/>
          <w:tab w:val="left" w:pos="5521" w:leader="none"/>
        </w:tabs>
        <w:rPr>
          <w:rFonts w:hint="eastAsia"/>
          <w:sz w:val="24"/>
        </w:rPr>
      </w:pPr>
      <w:r>
        <w:rPr>
          <w:rFonts w:hint="eastAsia"/>
          <w:sz w:val="24"/>
        </w:rPr>
        <w:t xml:space="preserve">截止时间：</w:t>
      </w:r>
      <w:r>
        <w:rPr>
          <w:rFonts w:hint="eastAsia"/>
          <w:sz w:val="24"/>
          <w:lang w:val="en-US" w:eastAsia="zh-CN"/>
        </w:rPr>
        <w:t xml:space="preserve">2026年1月19日09点30分</w:t>
      </w:r>
      <w:r>
        <w:rPr>
          <w:rFonts w:hint="eastAsia"/>
          <w:sz w:val="24"/>
        </w:rPr>
        <w:t xml:space="preserve">（北京时间）。</w:t>
      </w:r>
      <w:r/>
    </w:p>
    <w:p>
      <w:pPr>
        <w:ind w:firstLine="480"/>
        <w:spacing w:line="360" w:lineRule="auto"/>
        <w:tabs>
          <w:tab w:val="left" w:pos="900" w:leader="none"/>
          <w:tab w:val="left" w:pos="1134" w:leader="none"/>
          <w:tab w:val="left" w:pos="1589" w:leader="none"/>
          <w:tab w:val="left" w:pos="5521" w:leader="none"/>
        </w:tabs>
        <w:rPr>
          <w:rFonts w:hint="eastAsia"/>
          <w:sz w:val="24"/>
          <w:lang w:val="zh-TW"/>
        </w:rPr>
      </w:pPr>
      <w:r>
        <w:rPr>
          <w:rFonts w:hint="eastAsia"/>
          <w:sz w:val="24"/>
        </w:rPr>
        <w:t xml:space="preserve">地点：“苏采云”政府采购一体化平台 。</w:t>
      </w:r>
      <w:r/>
    </w:p>
    <w:p>
      <w:pPr>
        <w:pStyle w:val="1033"/>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五、开启</w:t>
      </w:r>
      <w:r/>
    </w:p>
    <w:p>
      <w:pPr>
        <w:ind w:firstLine="480"/>
        <w:spacing w:line="360" w:lineRule="auto"/>
        <w:tabs>
          <w:tab w:val="left" w:pos="900" w:leader="none"/>
          <w:tab w:val="left" w:pos="1134" w:leader="none"/>
          <w:tab w:val="left" w:pos="1589" w:leader="none"/>
          <w:tab w:val="left" w:pos="5521" w:leader="none"/>
        </w:tabs>
        <w:rPr>
          <w:rFonts w:hint="eastAsia"/>
          <w:sz w:val="24"/>
        </w:rPr>
      </w:pPr>
      <w:r>
        <w:rPr>
          <w:sz w:val="24"/>
          <w:lang w:bidi="ar"/>
        </w:rPr>
        <w:t xml:space="preserve">时</w:t>
      </w:r>
      <w:r>
        <w:rPr>
          <w:rFonts w:hint="eastAsia"/>
          <w:sz w:val="24"/>
        </w:rPr>
        <w:t xml:space="preserve">间：</w:t>
      </w:r>
      <w:r>
        <w:rPr>
          <w:rFonts w:hint="eastAsia"/>
          <w:sz w:val="24"/>
          <w:lang w:val="en-US" w:eastAsia="zh-CN"/>
        </w:rPr>
        <w:t xml:space="preserve">2026年1月19日09点30分</w:t>
      </w:r>
      <w:r>
        <w:rPr>
          <w:rFonts w:hint="eastAsia"/>
          <w:sz w:val="24"/>
        </w:rPr>
        <w:t xml:space="preserve">（北京时间）。</w:t>
      </w:r>
      <w:r/>
    </w:p>
    <w:p>
      <w:pPr>
        <w:ind w:firstLine="480"/>
        <w:spacing w:line="360" w:lineRule="auto"/>
        <w:tabs>
          <w:tab w:val="left" w:pos="900" w:leader="none"/>
          <w:tab w:val="left" w:pos="1134" w:leader="none"/>
          <w:tab w:val="left" w:pos="1589" w:leader="none"/>
          <w:tab w:val="left" w:pos="5521" w:leader="none"/>
        </w:tabs>
        <w:rPr>
          <w:rFonts w:hint="eastAsia"/>
          <w:sz w:val="24"/>
        </w:rPr>
      </w:pPr>
      <w:r>
        <w:rPr>
          <w:rFonts w:hint="eastAsia"/>
          <w:sz w:val="24"/>
        </w:rPr>
        <w:t xml:space="preserve">地点：“苏采云”政府采购交易系统网上开标大厅开标室</w:t>
      </w:r>
      <w:r>
        <w:rPr>
          <w:rFonts w:hint="eastAsia"/>
          <w:sz w:val="24"/>
          <w:lang w:val="zh-TW"/>
        </w:rPr>
        <w:t xml:space="preserve">。</w:t>
      </w:r>
      <w:r/>
    </w:p>
    <w:p>
      <w:pPr>
        <w:pStyle w:val="1033"/>
        <w:jc w:val="left"/>
        <w:spacing w:before="0" w:line="360" w:lineRule="auto"/>
        <w:rPr>
          <w:rFonts w:ascii="Times New Roman" w:hAnsi="Times New Roman" w:eastAsia="宋体"/>
          <w:sz w:val="24"/>
          <w:szCs w:val="24"/>
        </w:rPr>
      </w:pPr>
      <w:r/>
      <w:bookmarkStart w:id="19" w:name="_Toc28359084"/>
      <w:r/>
      <w:bookmarkStart w:id="20" w:name="_Toc28359007"/>
      <w:r/>
      <w:bookmarkStart w:id="21" w:name="_Toc35393794"/>
      <w:r/>
      <w:bookmarkStart w:id="22" w:name="_Toc35393625"/>
      <w:r>
        <w:rPr>
          <w:rFonts w:ascii="Times New Roman" w:hAnsi="Times New Roman" w:eastAsia="宋体"/>
          <w:sz w:val="24"/>
          <w:szCs w:val="24"/>
        </w:rPr>
        <w:t xml:space="preserve">六、公告期限</w:t>
      </w:r>
      <w:bookmarkEnd w:id="19"/>
      <w:r/>
      <w:bookmarkEnd w:id="20"/>
      <w:r/>
      <w:bookmarkEnd w:id="21"/>
      <w:r/>
      <w:bookmarkEnd w:id="22"/>
      <w:r/>
      <w:r/>
    </w:p>
    <w:p>
      <w:pPr>
        <w:ind w:firstLine="480"/>
        <w:spacing w:line="360" w:lineRule="auto"/>
        <w:rPr>
          <w:sz w:val="24"/>
        </w:rPr>
      </w:pPr>
      <w:r>
        <w:rPr>
          <w:sz w:val="24"/>
        </w:rPr>
        <w:t xml:space="preserve">自本公告发布之日起</w:t>
      </w:r>
      <w:r>
        <w:rPr>
          <w:rFonts w:hint="eastAsia"/>
          <w:sz w:val="24"/>
          <w:lang w:val="en-US" w:eastAsia="zh-CN"/>
        </w:rPr>
        <w:t xml:space="preserve">3</w:t>
      </w:r>
      <w:r>
        <w:rPr>
          <w:sz w:val="24"/>
        </w:rPr>
        <w:t xml:space="preserve">个工作日。</w:t>
      </w:r>
      <w:r/>
    </w:p>
    <w:p>
      <w:pPr>
        <w:pStyle w:val="1033"/>
        <w:jc w:val="left"/>
        <w:spacing w:before="0" w:line="360" w:lineRule="auto"/>
        <w:rPr>
          <w:rFonts w:ascii="Times New Roman" w:hAnsi="Times New Roman" w:eastAsia="宋体"/>
          <w:sz w:val="24"/>
          <w:szCs w:val="24"/>
        </w:rPr>
      </w:pPr>
      <w:r/>
      <w:bookmarkStart w:id="23" w:name="_Toc35393795"/>
      <w:r/>
      <w:bookmarkStart w:id="24" w:name="_Toc35393626"/>
      <w:r>
        <w:rPr>
          <w:rFonts w:ascii="Times New Roman" w:hAnsi="Times New Roman" w:eastAsia="宋体"/>
          <w:sz w:val="24"/>
          <w:szCs w:val="24"/>
        </w:rPr>
        <w:t xml:space="preserve">七、其他补充事宜</w:t>
      </w:r>
      <w:bookmarkEnd w:id="23"/>
      <w:r/>
      <w:bookmarkEnd w:id="24"/>
      <w:r/>
      <w:r/>
    </w:p>
    <w:p>
      <w:pPr>
        <w:ind w:firstLine="480"/>
        <w:jc w:val="left"/>
        <w:spacing w:line="360" w:lineRule="auto"/>
        <w:widowControl/>
        <w:rPr>
          <w:rFonts w:hint="eastAsia"/>
          <w:sz w:val="24"/>
          <w:lang w:bidi="ar"/>
        </w:rPr>
      </w:pPr>
      <w:r>
        <w:rPr>
          <w:rFonts w:hint="eastAsia"/>
          <w:sz w:val="24"/>
          <w:lang w:bidi="ar"/>
        </w:rPr>
        <w:t xml:space="preserve">1.本项目需要落实的政府采购政策：本项目专门面向中小企业采购，即承担的</w:t>
      </w:r>
      <w:r>
        <w:rPr>
          <w:rFonts w:hint="eastAsia"/>
          <w:sz w:val="24"/>
          <w:lang w:val="en-US" w:eastAsia="zh-CN" w:bidi="ar"/>
        </w:rPr>
        <w:t xml:space="preserve">服务</w:t>
      </w:r>
      <w:r>
        <w:rPr>
          <w:rFonts w:hint="eastAsia"/>
          <w:sz w:val="24"/>
          <w:lang w:bidi="ar"/>
        </w:rPr>
        <w:t xml:space="preserve">全部由符合政策的中小企业承接。监狱企业和残疾人福利性单位视同小微企业。</w:t>
      </w:r>
      <w:r/>
    </w:p>
    <w:p>
      <w:pPr>
        <w:ind w:firstLine="480"/>
        <w:jc w:val="left"/>
        <w:spacing w:line="360" w:lineRule="auto"/>
        <w:widowControl/>
        <w:rPr>
          <w:rFonts w:hint="eastAsia"/>
          <w:sz w:val="24"/>
          <w:lang w:bidi="ar"/>
        </w:rPr>
      </w:pPr>
      <w:r>
        <w:rPr>
          <w:rFonts w:hint="eastAsia"/>
          <w:sz w:val="24"/>
          <w:lang w:bidi="ar"/>
        </w:rPr>
        <w:t xml:space="preserve">2.本项目采用不见面交易方式，请供应商认真学习“苏采云”的相关操作手册，办理CA认证证书、进行“苏采云”平台注册绑定，并认真核实数字认证证书情况确认是否符合本项目电子化采购流程要求。</w:t>
      </w:r>
      <w:r/>
    </w:p>
    <w:p>
      <w:pPr>
        <w:ind w:firstLine="480"/>
        <w:jc w:val="left"/>
        <w:spacing w:line="360" w:lineRule="auto"/>
        <w:widowControl/>
        <w:rPr>
          <w:rFonts w:hint="eastAsia"/>
          <w:sz w:val="24"/>
          <w:lang w:bidi="ar"/>
        </w:rPr>
      </w:pPr>
      <w:r>
        <w:rPr>
          <w:rFonts w:hint="eastAsia"/>
          <w:sz w:val="24"/>
          <w:lang w:bidi="ar"/>
        </w:rPr>
        <w:t xml:space="preserve">技术保障服务：“苏采云”系统使用期间，由系统开发商江苏富深协通科技股份有限公司提供技术保障服务，指导软件操作，维护系统稳定运行。</w:t>
      </w:r>
      <w:r/>
    </w:p>
    <w:p>
      <w:pPr>
        <w:ind w:firstLine="480"/>
        <w:jc w:val="left"/>
        <w:spacing w:line="360" w:lineRule="auto"/>
        <w:widowControl/>
        <w:rPr>
          <w:rFonts w:hint="eastAsia"/>
          <w:sz w:val="24"/>
          <w:lang w:bidi="ar"/>
        </w:rPr>
      </w:pPr>
      <w:r>
        <w:rPr>
          <w:rFonts w:hint="eastAsia"/>
          <w:sz w:val="24"/>
          <w:lang w:bidi="ar"/>
        </w:rPr>
        <w:t xml:space="preserve">运维保障联系方式：0519-85588210、0519-85588163</w:t>
      </w:r>
      <w:r/>
    </w:p>
    <w:p>
      <w:pPr>
        <w:ind w:firstLine="480"/>
        <w:jc w:val="left"/>
        <w:spacing w:line="360" w:lineRule="auto"/>
        <w:widowControl/>
        <w:rPr>
          <w:rFonts w:hint="eastAsia"/>
          <w:sz w:val="24"/>
          <w:lang w:bidi="ar"/>
        </w:rPr>
      </w:pPr>
      <w:r>
        <w:rPr>
          <w:rFonts w:hint="eastAsia"/>
          <w:sz w:val="24"/>
          <w:lang w:bidi="ar"/>
        </w:rPr>
        <w:t xml:space="preserve">2.1办理CA认证证书</w:t>
      </w:r>
      <w:r/>
    </w:p>
    <w:p>
      <w:pPr>
        <w:ind w:firstLine="480"/>
        <w:jc w:val="left"/>
        <w:spacing w:line="360" w:lineRule="auto"/>
        <w:widowControl/>
        <w:rPr>
          <w:rFonts w:hint="eastAsia"/>
          <w:sz w:val="24"/>
          <w:lang w:bidi="ar"/>
        </w:rPr>
      </w:pPr>
      <w:r>
        <w:rPr>
          <w:rFonts w:hint="eastAsia"/>
          <w:sz w:val="24"/>
          <w:lang w:bidi="ar"/>
        </w:rPr>
        <w:t xml:space="preserve">申请人登录常州政府采购网“下载中心”栏目，根据江苏省政府采购数字证书CA及电子签章办理指南，下载填写《CA数字证书及电子签章申请表》，并携带营业执照复印件（盖公章）和原CA在工作日至市公共资源交易中心4楼开标大厅现场办理。地址：锦绣路2号行政服务中心1-1号楼。CA办理窗口联系方式：0519-85588120。</w:t>
      </w:r>
      <w:r/>
    </w:p>
    <w:p>
      <w:pPr>
        <w:ind w:firstLine="480"/>
        <w:jc w:val="left"/>
        <w:spacing w:line="360" w:lineRule="auto"/>
        <w:widowControl/>
        <w:rPr>
          <w:rFonts w:hint="eastAsia"/>
          <w:sz w:val="24"/>
          <w:lang w:bidi="ar"/>
        </w:rPr>
      </w:pPr>
      <w:r>
        <w:rPr>
          <w:rFonts w:hint="eastAsia"/>
          <w:sz w:val="24"/>
          <w:lang w:bidi="ar"/>
        </w:rPr>
        <w:t xml:space="preserve">2.2注册</w:t>
      </w:r>
      <w:r/>
    </w:p>
    <w:p>
      <w:pPr>
        <w:ind w:firstLine="480"/>
        <w:jc w:val="left"/>
        <w:spacing w:line="360" w:lineRule="auto"/>
        <w:widowControl/>
        <w:rPr>
          <w:rFonts w:hint="eastAsia"/>
          <w:sz w:val="24"/>
          <w:lang w:bidi="ar"/>
        </w:rPr>
      </w:pPr>
      <w:r>
        <w:rPr>
          <w:rFonts w:hint="eastAsia"/>
          <w:sz w:val="24"/>
          <w:lang w:bidi="ar"/>
        </w:rPr>
        <w:t xml:space="preserve">供应商应当使用谷歌浏览器登录“苏采云”门户网站，网址为：http://jszfcg．jsczt．cn/jszc/login。首次登录“苏采云”系统，需要绑定CA。</w:t>
      </w:r>
      <w:r/>
    </w:p>
    <w:p>
      <w:pPr>
        <w:ind w:firstLine="480"/>
        <w:jc w:val="left"/>
        <w:spacing w:line="360" w:lineRule="auto"/>
        <w:widowControl/>
        <w:rPr>
          <w:rFonts w:hint="eastAsia"/>
          <w:sz w:val="24"/>
          <w:lang w:bidi="ar"/>
        </w:rPr>
      </w:pPr>
      <w:r>
        <w:rPr>
          <w:rFonts w:hint="eastAsia"/>
          <w:sz w:val="24"/>
          <w:lang w:bidi="ar"/>
        </w:rPr>
        <w:t xml:space="preserve">2.3控件、客户端下载</w:t>
      </w:r>
      <w:r/>
    </w:p>
    <w:p>
      <w:pPr>
        <w:ind w:firstLine="480"/>
        <w:jc w:val="left"/>
        <w:spacing w:line="360" w:lineRule="auto"/>
        <w:widowControl/>
        <w:rPr>
          <w:rFonts w:hint="eastAsia"/>
          <w:sz w:val="24"/>
          <w:lang w:bidi="ar"/>
        </w:rPr>
      </w:pPr>
      <w:r>
        <w:rPr>
          <w:rFonts w:hint="eastAsia"/>
          <w:sz w:val="24"/>
          <w:lang w:bidi="ar"/>
        </w:rPr>
        <w:t xml:space="preserve">供应商应当使用谷歌浏览器登录“苏采云”门户网站，网址为：http://jszfcg．jsczt．cn/jszc/login下载相关驱动。</w:t>
      </w:r>
      <w:r/>
    </w:p>
    <w:p>
      <w:pPr>
        <w:ind w:firstLine="480"/>
        <w:jc w:val="left"/>
        <w:spacing w:line="360" w:lineRule="auto"/>
        <w:widowControl/>
        <w:rPr>
          <w:rFonts w:hint="eastAsia"/>
          <w:sz w:val="24"/>
          <w:lang w:bidi="ar"/>
        </w:rPr>
      </w:pPr>
      <w:r>
        <w:rPr>
          <w:rFonts w:hint="eastAsia"/>
          <w:sz w:val="24"/>
          <w:lang w:bidi="ar"/>
        </w:rPr>
        <w:t xml:space="preserve">2.4 获取电子磋商文件</w:t>
      </w:r>
      <w:r/>
    </w:p>
    <w:p>
      <w:pPr>
        <w:ind w:firstLine="480"/>
        <w:jc w:val="left"/>
        <w:spacing w:line="360" w:lineRule="auto"/>
        <w:widowControl/>
        <w:rPr>
          <w:rFonts w:hint="eastAsia"/>
          <w:sz w:val="24"/>
          <w:lang w:bidi="ar"/>
        </w:rPr>
      </w:pPr>
      <w:r>
        <w:rPr>
          <w:rFonts w:hint="eastAsia"/>
          <w:sz w:val="24"/>
          <w:lang w:bidi="ar"/>
        </w:rPr>
        <w:t xml:space="preserve">供应商持CA数字认证证书登录“苏采云”平台获取电子磋商文件。未在规定期限内通过“苏采云”平台获取磋商文件的响应无效。</w:t>
      </w:r>
      <w:r/>
    </w:p>
    <w:p>
      <w:pPr>
        <w:ind w:firstLine="480"/>
        <w:jc w:val="left"/>
        <w:spacing w:line="360" w:lineRule="auto"/>
        <w:widowControl/>
        <w:rPr>
          <w:rFonts w:hint="eastAsia"/>
          <w:sz w:val="24"/>
          <w:lang w:bidi="ar"/>
        </w:rPr>
      </w:pPr>
      <w:r>
        <w:rPr>
          <w:rFonts w:hint="eastAsia"/>
          <w:sz w:val="24"/>
          <w:lang w:bidi="ar"/>
        </w:rPr>
        <w:t xml:space="preserve">2.5编制电子响应文件</w:t>
      </w:r>
      <w:r/>
    </w:p>
    <w:p>
      <w:pPr>
        <w:ind w:firstLine="480"/>
        <w:jc w:val="left"/>
        <w:spacing w:line="360" w:lineRule="auto"/>
        <w:widowControl/>
        <w:rPr>
          <w:rFonts w:hint="eastAsia"/>
          <w:sz w:val="24"/>
          <w:lang w:bidi="ar"/>
        </w:rPr>
      </w:pPr>
      <w:r>
        <w:rPr>
          <w:rFonts w:hint="eastAsia"/>
          <w:sz w:val="24"/>
          <w:lang w:bidi="ar"/>
        </w:rPr>
        <w:t xml:space="preserve">本采购项目评审方式为“线上评审”，供应商在参与后，请先下载对应采购包的投标文件，在客户端完成标书制作和CA加密，并将制作完成的投标文件包上传。</w:t>
      </w:r>
      <w:r/>
    </w:p>
    <w:p>
      <w:pPr>
        <w:ind w:firstLine="480"/>
        <w:jc w:val="left"/>
        <w:spacing w:line="360" w:lineRule="auto"/>
        <w:widowControl/>
        <w:rPr>
          <w:rFonts w:hint="eastAsia"/>
          <w:sz w:val="24"/>
          <w:lang w:bidi="ar"/>
        </w:rPr>
      </w:pPr>
      <w:r>
        <w:rPr>
          <w:rFonts w:hint="eastAsia"/>
          <w:sz w:val="24"/>
          <w:lang w:bidi="ar"/>
        </w:rPr>
        <w:t xml:space="preserve">2.6提交电子响应文件</w:t>
      </w:r>
      <w:r/>
    </w:p>
    <w:p>
      <w:pPr>
        <w:ind w:firstLine="480"/>
        <w:jc w:val="left"/>
        <w:spacing w:line="360" w:lineRule="auto"/>
        <w:widowControl/>
        <w:rPr>
          <w:rFonts w:hint="eastAsia"/>
          <w:sz w:val="24"/>
          <w:lang w:bidi="ar"/>
        </w:rPr>
      </w:pPr>
      <w:r>
        <w:rPr>
          <w:rFonts w:hint="eastAsia"/>
          <w:sz w:val="24"/>
          <w:lang w:bidi="ar"/>
        </w:rPr>
        <w:t xml:space="preserve">投标文件接收截止时间之前可撤回已提交的投标文件，修改后再次提交。投标文件提交后，可通过模拟解密操作检测投标文件包是否可以在开标阶段正常解密。上传投标文件包以及模拟解密时，系统会验证您的CA,请确保您用于验证的CA和客户端加密投标文件时使用的CA相同！</w:t>
      </w:r>
      <w:r/>
    </w:p>
    <w:p>
      <w:pPr>
        <w:ind w:firstLine="480"/>
        <w:jc w:val="left"/>
        <w:spacing w:line="360" w:lineRule="auto"/>
        <w:widowControl/>
        <w:rPr>
          <w:rFonts w:hint="eastAsia"/>
          <w:sz w:val="24"/>
          <w:lang w:bidi="ar"/>
        </w:rPr>
      </w:pPr>
      <w:r>
        <w:rPr>
          <w:rFonts w:hint="eastAsia"/>
          <w:sz w:val="24"/>
          <w:lang w:bidi="ar"/>
        </w:rPr>
        <w:t xml:space="preserve">2.7电子开标</w:t>
      </w:r>
      <w:r/>
    </w:p>
    <w:p>
      <w:pPr>
        <w:ind w:firstLine="480"/>
        <w:jc w:val="left"/>
        <w:spacing w:line="360" w:lineRule="auto"/>
        <w:widowControl/>
        <w:rPr>
          <w:rFonts w:hint="eastAsia"/>
          <w:sz w:val="24"/>
          <w:lang w:bidi="ar"/>
        </w:rPr>
      </w:pPr>
      <w:r>
        <w:rPr>
          <w:rFonts w:hint="eastAsia"/>
          <w:sz w:val="24"/>
          <w:lang w:bidi="ar"/>
        </w:rPr>
        <w:t xml:space="preserve">登录苏采云系统，点击“开标大厅”，选择对应项目。</w:t>
      </w:r>
      <w:r/>
    </w:p>
    <w:p>
      <w:pPr>
        <w:ind w:firstLine="480"/>
        <w:jc w:val="left"/>
        <w:spacing w:line="360" w:lineRule="auto"/>
        <w:widowControl/>
        <w:rPr>
          <w:rFonts w:hint="eastAsia"/>
          <w:sz w:val="24"/>
          <w:lang w:bidi="ar"/>
        </w:rPr>
      </w:pPr>
      <w:r>
        <w:rPr>
          <w:rFonts w:hint="eastAsia"/>
          <w:sz w:val="24"/>
          <w:lang w:bidi="ar"/>
        </w:rPr>
        <w:t xml:space="preserve">开评标流程如下：开标等待----&gt;开标主持----&gt;供应商解密----&gt;唱标----&gt;评审----&gt;评审结束说明：整个开评标环节，供应商只需要在【供应商解密】环节进行 CA 解密、【唱标】环节进行唱标确认、【评审】环节等待询标澄清或最终报价的准备，其余环节均为语音播报，供应商观看开标即可。</w:t>
      </w:r>
      <w:r/>
    </w:p>
    <w:p>
      <w:pPr>
        <w:ind w:firstLine="480"/>
        <w:jc w:val="left"/>
        <w:spacing w:line="360" w:lineRule="auto"/>
        <w:widowControl/>
        <w:rPr>
          <w:rFonts w:hint="eastAsia"/>
          <w:sz w:val="24"/>
          <w:lang w:bidi="ar"/>
        </w:rPr>
      </w:pPr>
      <w:r>
        <w:rPr>
          <w:rFonts w:hint="eastAsia"/>
          <w:sz w:val="24"/>
          <w:lang w:bidi="ar"/>
        </w:rPr>
        <w:t xml:space="preserve">2.8注意事项</w:t>
      </w:r>
      <w:r/>
    </w:p>
    <w:p>
      <w:pPr>
        <w:ind w:firstLine="480"/>
        <w:jc w:val="left"/>
        <w:spacing w:line="360" w:lineRule="auto"/>
        <w:widowControl/>
        <w:rPr>
          <w:rFonts w:hint="eastAsia"/>
          <w:sz w:val="24"/>
          <w:lang w:bidi="ar"/>
        </w:rPr>
      </w:pPr>
      <w:r>
        <w:rPr>
          <w:rFonts w:hint="eastAsia"/>
          <w:sz w:val="24"/>
          <w:lang w:bidi="ar"/>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p>
    <w:p>
      <w:pPr>
        <w:ind w:firstLine="480"/>
        <w:jc w:val="left"/>
        <w:spacing w:line="360" w:lineRule="auto"/>
        <w:widowControl/>
        <w:rPr>
          <w:rFonts w:hint="eastAsia"/>
          <w:sz w:val="24"/>
          <w:lang w:bidi="ar"/>
        </w:rPr>
      </w:pPr>
      <w:r>
        <w:rPr>
          <w:rFonts w:hint="eastAsia"/>
          <w:sz w:val="24"/>
          <w:lang w:bidi="ar"/>
        </w:rPr>
        <w:t xml:space="preserve">3.关于常州市中小企业政府采购信用融资：</w:t>
      </w:r>
      <w:r/>
    </w:p>
    <w:p>
      <w:pPr>
        <w:ind w:firstLine="480"/>
        <w:jc w:val="left"/>
        <w:spacing w:line="360" w:lineRule="auto"/>
        <w:widowControl/>
        <w:rPr>
          <w:sz w:val="24"/>
        </w:rPr>
      </w:pPr>
      <w:r>
        <w:rPr>
          <w:rFonts w:hint="eastAsia"/>
          <w:sz w:val="24"/>
          <w:lang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1033"/>
        <w:jc w:val="left"/>
        <w:spacing w:before="0" w:line="360" w:lineRule="auto"/>
        <w:rPr>
          <w:rFonts w:ascii="Times New Roman" w:hAnsi="Times New Roman" w:eastAsia="宋体"/>
          <w:sz w:val="24"/>
          <w:szCs w:val="24"/>
        </w:rPr>
      </w:pPr>
      <w:r/>
      <w:bookmarkStart w:id="25" w:name="_Toc28359085"/>
      <w:r/>
      <w:bookmarkStart w:id="26" w:name="_Toc28359008"/>
      <w:r/>
      <w:bookmarkStart w:id="27" w:name="_Toc35393627"/>
      <w:r/>
      <w:bookmarkStart w:id="28" w:name="_Toc35393796"/>
      <w:r>
        <w:rPr>
          <w:rFonts w:ascii="Times New Roman" w:hAnsi="Times New Roman" w:eastAsia="宋体"/>
          <w:sz w:val="24"/>
          <w:szCs w:val="24"/>
        </w:rPr>
        <w:t xml:space="preserve">八、对本项目提出询问，请按以下方式联系。</w:t>
      </w:r>
      <w:bookmarkEnd w:id="25"/>
      <w:r/>
      <w:bookmarkEnd w:id="26"/>
      <w:r/>
      <w:bookmarkEnd w:id="27"/>
      <w:r/>
      <w:bookmarkEnd w:id="28"/>
      <w:r/>
      <w:r/>
    </w:p>
    <w:p>
      <w:pPr>
        <w:jc w:val="left"/>
        <w:spacing w:line="360" w:lineRule="auto"/>
        <w:widowControl/>
        <w:rPr>
          <w:b/>
          <w:sz w:val="24"/>
        </w:rPr>
      </w:pPr>
      <w:r>
        <w:rPr>
          <w:sz w:val="24"/>
        </w:rPr>
        <w:t xml:space="preserve">　　　</w:t>
      </w:r>
      <w:r>
        <w:rPr>
          <w:b/>
          <w:sz w:val="24"/>
        </w:rPr>
        <w:t xml:space="preserve">1.采购人信息</w:t>
      </w:r>
      <w:r/>
    </w:p>
    <w:p>
      <w:pPr>
        <w:ind w:left="1076" w:hanging="297"/>
        <w:jc w:val="left"/>
        <w:spacing w:line="360" w:lineRule="auto"/>
        <w:rPr>
          <w:rFonts w:hint="eastAsia" w:ascii="Times New Roman" w:hAnsi="Times New Roman" w:eastAsia="宋体" w:cs="Times New Roman"/>
          <w:sz w:val="24"/>
          <w:lang w:eastAsia="zh-CN"/>
        </w:rPr>
      </w:pPr>
      <w:r/>
      <w:bookmarkStart w:id="29" w:name="_Toc28359009"/>
      <w:r/>
      <w:bookmarkStart w:id="30" w:name="_Toc28359086"/>
      <w:r>
        <w:rPr>
          <w:rFonts w:hint="eastAsia" w:ascii="Times New Roman" w:hAnsi="Times New Roman" w:eastAsia="宋体" w:cs="Times New Roman"/>
          <w:sz w:val="24"/>
        </w:rPr>
        <w:t xml:space="preserve">名    称：</w:t>
      </w:r>
      <w:r>
        <w:rPr>
          <w:rFonts w:hint="eastAsia" w:cs="Times New Roman"/>
          <w:sz w:val="24"/>
          <w:lang w:eastAsia="zh-CN"/>
        </w:rPr>
        <w:t xml:space="preserve">江苏省溧阳曹山旅游度假区管理办公室</w:t>
      </w:r>
      <w:r/>
    </w:p>
    <w:p>
      <w:pPr>
        <w:ind w:left="1076" w:hanging="297"/>
        <w:jc w:val="left"/>
        <w:spacing w:line="360" w:lineRule="auto"/>
        <w:rPr>
          <w:rFonts w:hint="eastAsia" w:ascii="Times New Roman" w:hAnsi="Times New Roman" w:eastAsia="宋体" w:cs="Times New Roman"/>
          <w:sz w:val="24"/>
          <w:lang w:eastAsia="zh-CN"/>
        </w:rPr>
      </w:pPr>
      <w:r>
        <w:rPr>
          <w:rFonts w:hint="eastAsia" w:ascii="Times New Roman" w:hAnsi="Times New Roman" w:eastAsia="宋体" w:cs="Times New Roman"/>
          <w:sz w:val="24"/>
        </w:rPr>
        <w:t xml:space="preserve">地    址：</w:t>
      </w:r>
      <w:r>
        <w:rPr>
          <w:rFonts w:hint="eastAsia" w:ascii="Times New Roman" w:hAnsi="Times New Roman" w:eastAsia="宋体" w:cs="Times New Roman"/>
          <w:sz w:val="24"/>
          <w:lang w:eastAsia="zh-CN"/>
        </w:rPr>
        <w:t xml:space="preserve">溧阳市上兴镇永兴大道36号</w:t>
      </w:r>
      <w:r/>
    </w:p>
    <w:p>
      <w:pPr>
        <w:ind w:left="1076" w:hanging="297"/>
        <w:jc w:val="left"/>
        <w:spacing w:line="360" w:lineRule="auto"/>
        <w:rPr>
          <w:rFonts w:hint="default" w:ascii="Times New Roman" w:hAnsi="Times New Roman" w:eastAsia="宋体" w:cs="Times New Roman"/>
          <w:sz w:val="24"/>
          <w:lang w:val="en-US" w:eastAsia="zh-CN"/>
        </w:rPr>
      </w:pPr>
      <w:r>
        <w:rPr>
          <w:rFonts w:hint="eastAsia" w:ascii="Times New Roman" w:hAnsi="Times New Roman" w:eastAsia="宋体" w:cs="Times New Roman"/>
          <w:sz w:val="24"/>
        </w:rPr>
        <w:t xml:space="preserve">联系方式：</w:t>
      </w:r>
      <w:r>
        <w:rPr>
          <w:rFonts w:hint="eastAsia" w:ascii="Times New Roman" w:hAnsi="Times New Roman" w:eastAsia="宋体" w:cs="Times New Roman"/>
          <w:sz w:val="24"/>
          <w:lang w:eastAsia="zh-CN"/>
        </w:rPr>
        <w:t xml:space="preserve">0519-87731117</w:t>
      </w:r>
      <w:r/>
    </w:p>
    <w:p>
      <w:pPr>
        <w:ind w:left="1078" w:hanging="299"/>
        <w:jc w:val="left"/>
        <w:spacing w:line="360" w:lineRule="auto"/>
        <w:rPr>
          <w:b/>
          <w:sz w:val="24"/>
        </w:rPr>
      </w:pPr>
      <w:r>
        <w:rPr>
          <w:b/>
          <w:sz w:val="24"/>
        </w:rPr>
        <w:t xml:space="preserve">2.采购代理机构信息</w:t>
      </w:r>
      <w:bookmarkEnd w:id="29"/>
      <w:r/>
      <w:bookmarkEnd w:id="30"/>
      <w:r/>
      <w:r/>
    </w:p>
    <w:p>
      <w:pPr>
        <w:ind w:left="1076" w:hanging="297"/>
        <w:jc w:val="left"/>
        <w:spacing w:line="360" w:lineRule="auto"/>
        <w:rPr>
          <w:rFonts w:hint="eastAsia" w:eastAsia="宋体"/>
          <w:sz w:val="24"/>
          <w:lang w:eastAsia="zh-CN"/>
        </w:rPr>
      </w:pPr>
      <w:r/>
      <w:bookmarkStart w:id="31" w:name="_Toc28359010"/>
      <w:r/>
      <w:bookmarkStart w:id="32" w:name="_Toc28359087"/>
      <w:r>
        <w:rPr>
          <w:sz w:val="24"/>
        </w:rPr>
        <w:t xml:space="preserve">名    称：</w:t>
      </w:r>
      <w:r>
        <w:rPr>
          <w:rFonts w:hint="eastAsia"/>
          <w:sz w:val="24"/>
          <w:lang w:eastAsia="zh-CN"/>
        </w:rPr>
        <w:t xml:space="preserve">江苏恒卓工程管理咨询有限公司</w:t>
      </w:r>
      <w:r/>
    </w:p>
    <w:p>
      <w:pPr>
        <w:ind w:left="1076" w:hanging="297"/>
        <w:jc w:val="left"/>
        <w:spacing w:line="360" w:lineRule="auto"/>
        <w:rPr>
          <w:rFonts w:hint="eastAsia" w:eastAsia="宋体"/>
          <w:sz w:val="24"/>
          <w:lang w:eastAsia="zh-CN"/>
        </w:rPr>
      </w:pPr>
      <w:r>
        <w:rPr>
          <w:sz w:val="24"/>
        </w:rPr>
        <w:t xml:space="preserve">地    址：</w:t>
      </w:r>
      <w:r>
        <w:rPr>
          <w:rFonts w:hint="eastAsia"/>
          <w:sz w:val="24"/>
          <w:lang w:eastAsia="zh-CN"/>
        </w:rPr>
        <w:t xml:space="preserve">溧阳市游子吟大道19号通用路桥大楼8楼</w:t>
      </w:r>
      <w:r/>
    </w:p>
    <w:p>
      <w:pPr>
        <w:ind w:left="1076" w:hanging="297"/>
        <w:jc w:val="left"/>
        <w:spacing w:line="360" w:lineRule="auto"/>
        <w:rPr>
          <w:sz w:val="24"/>
          <w:u w:val="single"/>
        </w:rPr>
      </w:pPr>
      <w:r>
        <w:rPr>
          <w:sz w:val="24"/>
        </w:rPr>
        <w:t xml:space="preserve">联系方式：</w:t>
      </w:r>
      <w:r>
        <w:rPr>
          <w:rFonts w:hint="eastAsia"/>
          <w:sz w:val="24"/>
        </w:rPr>
        <w:t xml:space="preserve">0519-68910808</w:t>
      </w:r>
      <w:r/>
    </w:p>
    <w:p>
      <w:pPr>
        <w:ind w:left="1078" w:hanging="299"/>
        <w:spacing w:line="360" w:lineRule="auto"/>
        <w:rPr>
          <w:b/>
          <w:sz w:val="24"/>
          <w:u w:val="single"/>
        </w:rPr>
      </w:pPr>
      <w:r>
        <w:rPr>
          <w:b/>
          <w:sz w:val="24"/>
        </w:rPr>
        <w:t xml:space="preserve">3.项目联系方式</w:t>
      </w:r>
      <w:bookmarkEnd w:id="31"/>
      <w:r/>
      <w:bookmarkEnd w:id="32"/>
      <w:r/>
      <w:r/>
    </w:p>
    <w:p>
      <w:pPr>
        <w:pStyle w:val="1070"/>
        <w:ind w:left="1076" w:hanging="297"/>
        <w:spacing w:line="360" w:lineRule="auto"/>
        <w:rPr>
          <w:rFonts w:ascii="Times New Roman" w:hAnsi="Times New Roman"/>
          <w:sz w:val="24"/>
          <w:u w:val="single"/>
          <w:lang w:bidi="ar"/>
        </w:rPr>
      </w:pPr>
      <w:r>
        <w:rPr>
          <w:rFonts w:ascii="Times New Roman" w:hAnsi="Times New Roman"/>
          <w:sz w:val="24"/>
          <w:szCs w:val="24"/>
        </w:rPr>
        <w:t xml:space="preserve">项目联系人：</w:t>
      </w:r>
      <w:r>
        <w:rPr>
          <w:rFonts w:hint="eastAsia" w:ascii="Times New Roman" w:hAnsi="Times New Roman"/>
          <w:sz w:val="24"/>
          <w:szCs w:val="24"/>
          <w:lang w:val="en-US" w:eastAsia="zh-CN"/>
        </w:rPr>
        <w:t xml:space="preserve">杨</w:t>
      </w:r>
      <w:r>
        <w:rPr>
          <w:rFonts w:ascii="Times New Roman" w:hAnsi="Times New Roman"/>
          <w:sz w:val="24"/>
        </w:rPr>
        <w:t xml:space="preserve">工</w:t>
      </w:r>
      <w:r/>
    </w:p>
    <w:p>
      <w:pPr>
        <w:pStyle w:val="1070"/>
        <w:ind w:left="1076" w:hanging="297"/>
        <w:spacing w:line="360" w:lineRule="auto"/>
        <w:rPr>
          <w:rFonts w:ascii="Times New Roman" w:hAnsi="Times New Roman"/>
          <w:sz w:val="24"/>
          <w:szCs w:val="24"/>
        </w:rPr>
      </w:pPr>
      <w:r>
        <w:rPr>
          <w:rFonts w:ascii="Times New Roman" w:hAnsi="Times New Roman"/>
          <w:sz w:val="24"/>
        </w:rPr>
        <w:t xml:space="preserve">电      话：0519-68910808</w:t>
      </w:r>
      <w:r>
        <w:rPr>
          <w:rFonts w:ascii="Times New Roman" w:hAnsi="Times New Roman"/>
          <w:sz w:val="24"/>
          <w:szCs w:val="24"/>
        </w:rPr>
        <w:t xml:space="preserve"> </w:t>
      </w:r>
      <w:r/>
    </w:p>
    <w:p>
      <w:pPr>
        <w:jc w:val="left"/>
        <w:spacing w:line="360" w:lineRule="auto"/>
        <w:rPr>
          <w:sz w:val="24"/>
        </w:rPr>
      </w:pPr>
      <w:r>
        <w:rPr>
          <w:rFonts w:hint="eastAsia" w:ascii="宋体" w:hAnsi="宋体" w:eastAsia="宋体" w:cs="宋体"/>
          <w:b/>
          <w:bCs/>
          <w:color w:val="000000"/>
          <w:sz w:val="21"/>
          <w:szCs w:val="21"/>
          <w:lang w:val="zh-TW" w:eastAsia="zh-CN" w:bidi="ar-SA"/>
        </w:rPr>
        <w:t xml:space="preserve">注：以上个人信息，由于工作需要经机构或本人同意对外公布。</w:t>
      </w:r>
      <w:r/>
    </w:p>
    <w:p>
      <w:pPr>
        <w:jc w:val="center"/>
        <w:spacing w:line="360" w:lineRule="auto"/>
        <w:rPr>
          <w:b/>
          <w:sz w:val="32"/>
          <w:szCs w:val="32"/>
        </w:rPr>
        <w:outlineLvl w:val="0"/>
      </w:pPr>
      <w:r>
        <w:rPr>
          <w:sz w:val="24"/>
        </w:rPr>
        <w:br w:type="page" w:clear="all"/>
      </w:r>
      <w:bookmarkStart w:id="33" w:name="_Toc127161488"/>
      <w:r/>
      <w:bookmarkStart w:id="34" w:name="_Toc305158854"/>
      <w:r/>
      <w:bookmarkStart w:id="35" w:name="_Toc104818926"/>
      <w:r/>
      <w:bookmarkStart w:id="36" w:name="_Toc512937850"/>
      <w:r/>
      <w:bookmarkStart w:id="37" w:name="_Toc226965856"/>
      <w:r/>
      <w:bookmarkStart w:id="38" w:name="_Toc127151777"/>
      <w:r/>
      <w:bookmarkStart w:id="39" w:name="_Toc195842950"/>
      <w:r/>
      <w:bookmarkStart w:id="40" w:name="_Toc265228423"/>
      <w:r/>
      <w:bookmarkStart w:id="41" w:name="_Toc305158928"/>
      <w:r/>
      <w:bookmarkStart w:id="42" w:name="_Toc353873938"/>
      <w:r/>
      <w:bookmarkStart w:id="43" w:name="_Toc150774783"/>
      <w:r/>
      <w:bookmarkStart w:id="44" w:name="_Toc353825548"/>
      <w:r/>
      <w:bookmarkStart w:id="45" w:name="_Toc264969275"/>
      <w:r>
        <w:rPr>
          <w:b/>
          <w:sz w:val="36"/>
          <w:szCs w:val="36"/>
        </w:rPr>
        <w:t xml:space="preserve">第二章   供应商须知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
    </w:p>
    <w:p>
      <w:pPr>
        <w:pStyle w:val="1033"/>
        <w:spacing w:before="0" w:line="360" w:lineRule="auto"/>
        <w:tabs>
          <w:tab w:val="center" w:pos="4592" w:leader="none"/>
          <w:tab w:val="left" w:pos="7860" w:leader="none"/>
        </w:tabs>
        <w:rPr>
          <w:rFonts w:ascii="Times New Roman" w:hAnsi="Times New Roman" w:eastAsia="宋体"/>
          <w:b w:val="0"/>
          <w:sz w:val="28"/>
        </w:rPr>
      </w:pPr>
      <w:r/>
      <w:bookmarkStart w:id="46" w:name="_Toc164229360"/>
      <w:r/>
      <w:bookmarkStart w:id="47" w:name="_Toc151190146"/>
      <w:r/>
      <w:bookmarkStart w:id="48" w:name="_Toc226965709"/>
      <w:r/>
      <w:bookmarkStart w:id="49" w:name="_Toc226309763"/>
      <w:r/>
      <w:bookmarkStart w:id="50" w:name="_Toc151193761"/>
      <w:r/>
      <w:bookmarkStart w:id="51" w:name="_Toc127151720"/>
      <w:r/>
      <w:bookmarkStart w:id="52" w:name="_Toc195842884"/>
      <w:r/>
      <w:bookmarkStart w:id="53" w:name="_Toc150480757"/>
      <w:r/>
      <w:bookmarkStart w:id="54" w:name="_Toc127161433"/>
      <w:r/>
      <w:bookmarkStart w:id="55" w:name="_Toc151193617"/>
      <w:r/>
      <w:bookmarkStart w:id="56" w:name="_Toc149720812"/>
      <w:r/>
      <w:bookmarkStart w:id="57" w:name="_Toc520356144"/>
      <w:r/>
      <w:bookmarkStart w:id="58" w:name="_Toc150774724"/>
      <w:r/>
      <w:bookmarkStart w:id="59" w:name="_Toc150509270"/>
      <w:r/>
      <w:bookmarkStart w:id="60" w:name="_Toc151193907"/>
      <w:r/>
      <w:bookmarkStart w:id="61" w:name="_Toc226965792"/>
      <w:r/>
      <w:bookmarkStart w:id="62" w:name="_Toc127151519"/>
      <w:r/>
      <w:bookmarkStart w:id="63" w:name="_Toc151193833"/>
      <w:r/>
      <w:bookmarkStart w:id="64" w:name="_Toc150774619"/>
      <w:r/>
      <w:bookmarkStart w:id="65" w:name="_Toc151193689"/>
      <w:r/>
      <w:bookmarkStart w:id="66" w:name="_Toc226337215"/>
      <w:r/>
      <w:bookmarkStart w:id="67" w:name="_Toc164608633"/>
      <w:r/>
      <w:bookmarkStart w:id="68" w:name="_Toc164229214"/>
      <w:r/>
      <w:bookmarkStart w:id="69" w:name="_Toc164351613"/>
      <w:r/>
      <w:bookmarkStart w:id="70" w:name="_Toc164608788"/>
      <w:r/>
      <w:bookmarkStart w:id="71" w:name="_Toc142311021"/>
      <w:r>
        <w:rPr>
          <w:rFonts w:ascii="Times New Roman" w:hAnsi="Times New Roman" w:eastAsia="宋体"/>
          <w:sz w:val="28"/>
        </w:rPr>
        <w:t xml:space="preserve">供应商须知资料表</w:t>
      </w:r>
      <w:r/>
    </w:p>
    <w:p>
      <w:pPr>
        <w:jc w:val="center"/>
        <w:rPr>
          <w:b/>
          <w:sz w:val="28"/>
          <w:szCs w:val="28"/>
        </w:rPr>
      </w:pPr>
      <w:r>
        <w:rPr>
          <w:b/>
          <w:sz w:val="28"/>
          <w:szCs w:val="28"/>
        </w:rPr>
      </w:r>
      <w:r/>
    </w:p>
    <w:p>
      <w:pPr>
        <w:ind w:firstLine="480"/>
        <w:spacing w:line="360" w:lineRule="auto"/>
        <w:rPr>
          <w:sz w:val="24"/>
        </w:rPr>
      </w:pPr>
      <w:r>
        <w:rPr>
          <w:sz w:val="24"/>
        </w:rPr>
        <w:t xml:space="preserve">本表是对供应商须知的具体补充和修改，如有矛盾，均以本资料表为准。标记</w:t>
      </w:r>
      <w:r>
        <w:rPr>
          <w:color w:val="000000"/>
          <w:sz w:val="24"/>
        </w:rPr>
        <w:t xml:space="preserve">“</w:t>
      </w:r>
      <w:r>
        <w:rPr>
          <w:b/>
          <w:color w:val="000000"/>
          <w:sz w:val="24"/>
        </w:rPr>
        <w:t xml:space="preserve">■</w:t>
      </w:r>
      <w:r>
        <w:rPr>
          <w:color w:val="000000"/>
          <w:sz w:val="24"/>
        </w:rPr>
        <w:t xml:space="preserve">”</w:t>
      </w:r>
      <w:r>
        <w:rPr>
          <w:sz w:val="24"/>
        </w:rPr>
        <w:t xml:space="preserve">的选项意为适用于本项目，标记“</w:t>
      </w:r>
      <w:r>
        <w:t xml:space="preserve">□</w:t>
      </w:r>
      <w:r>
        <w:rPr>
          <w:sz w:val="24"/>
        </w:rPr>
        <w:t xml:space="preserve">”的选项意为不适用于本项目。</w:t>
      </w:r>
      <w:r/>
    </w:p>
    <w:tbl>
      <w:tblPr>
        <w:tblStyle w:val="855"/>
        <w:tblW w:w="99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jc w:val="center"/>
          <w:trHeight w:val="594"/>
          <w:tblHeader/>
        </w:trPr>
        <w:tc>
          <w:tcPr>
            <w:tcW w:w="988" w:type="dxa"/>
            <w:vAlign w:val="center"/>
            <w:textDirection w:val="lrTb"/>
            <w:noWrap w:val="false"/>
          </w:tcPr>
          <w:p>
            <w:pPr>
              <w:jc w:val="center"/>
              <w:rPr>
                <w:b/>
                <w:bCs/>
                <w:sz w:val="24"/>
              </w:rPr>
            </w:pPr>
            <w:r>
              <w:rPr>
                <w:b/>
                <w:sz w:val="24"/>
              </w:rPr>
              <w:t xml:space="preserve">条款号</w:t>
            </w:r>
            <w:r/>
          </w:p>
        </w:tc>
        <w:tc>
          <w:tcPr>
            <w:tcW w:w="1701" w:type="dxa"/>
            <w:vAlign w:val="center"/>
            <w:textDirection w:val="lrTb"/>
            <w:noWrap w:val="false"/>
          </w:tcPr>
          <w:p>
            <w:pPr>
              <w:jc w:val="center"/>
              <w:rPr>
                <w:b/>
                <w:bCs/>
                <w:sz w:val="24"/>
              </w:rPr>
            </w:pPr>
            <w:r>
              <w:rPr>
                <w:b/>
                <w:bCs/>
                <w:sz w:val="24"/>
              </w:rPr>
              <w:t xml:space="preserve">条目</w:t>
            </w:r>
            <w:r/>
          </w:p>
        </w:tc>
        <w:tc>
          <w:tcPr>
            <w:tcW w:w="7253" w:type="dxa"/>
            <w:vAlign w:val="center"/>
            <w:textDirection w:val="lrTb"/>
            <w:noWrap w:val="false"/>
          </w:tcPr>
          <w:p>
            <w:pPr>
              <w:jc w:val="center"/>
              <w:rPr>
                <w:b/>
                <w:bCs/>
                <w:sz w:val="24"/>
              </w:rPr>
            </w:pPr>
            <w:r>
              <w:rPr>
                <w:b/>
                <w:bCs/>
                <w:sz w:val="24"/>
              </w:rPr>
              <w:t xml:space="preserve">内容</w:t>
            </w:r>
            <w:r/>
          </w:p>
        </w:tc>
      </w:tr>
      <w:tr>
        <w:trPr>
          <w:jc w:val="center"/>
          <w:trHeight w:val="589"/>
        </w:trPr>
        <w:tc>
          <w:tcPr>
            <w:tcW w:w="988" w:type="dxa"/>
            <w:vAlign w:val="center"/>
            <w:textDirection w:val="lrTb"/>
            <w:noWrap w:val="false"/>
          </w:tcPr>
          <w:p>
            <w:pPr>
              <w:pStyle w:val="1070"/>
              <w:jc w:val="center"/>
              <w:rPr>
                <w:rFonts w:ascii="Times New Roman" w:hAnsi="Times New Roman"/>
                <w:sz w:val="24"/>
                <w:szCs w:val="24"/>
              </w:rPr>
            </w:pPr>
            <w:r>
              <w:rPr>
                <w:rFonts w:ascii="Times New Roman" w:hAnsi="Times New Roman"/>
                <w:sz w:val="24"/>
                <w:szCs w:val="24"/>
              </w:rPr>
              <w:t xml:space="preserve">2.2</w:t>
            </w:r>
            <w:r/>
          </w:p>
        </w:tc>
        <w:tc>
          <w:tcPr>
            <w:tcW w:w="1701" w:type="dxa"/>
            <w:vAlign w:val="center"/>
            <w:textDirection w:val="lrTb"/>
            <w:noWrap w:val="false"/>
          </w:tcPr>
          <w:p>
            <w:pPr>
              <w:jc w:val="center"/>
              <w:rPr>
                <w:sz w:val="24"/>
              </w:rPr>
            </w:pPr>
            <w:r>
              <w:rPr>
                <w:sz w:val="24"/>
              </w:rPr>
              <w:t xml:space="preserve">项目属性</w:t>
            </w:r>
            <w:r/>
          </w:p>
        </w:tc>
        <w:tc>
          <w:tcPr>
            <w:tcW w:w="7253" w:type="dxa"/>
            <w:vAlign w:val="center"/>
            <w:textDirection w:val="lrTb"/>
            <w:noWrap w:val="false"/>
          </w:tcPr>
          <w:p>
            <w:pPr>
              <w:jc w:val="left"/>
              <w:rPr>
                <w:rFonts w:hint="eastAsia" w:eastAsia="宋体"/>
                <w:sz w:val="24"/>
                <w:u w:val="single"/>
                <w:lang w:eastAsia="zh-CN"/>
              </w:rPr>
            </w:pPr>
            <w:r>
              <w:rPr>
                <w:rFonts w:ascii="Times New Roman" w:hAnsi="Times New Roman" w:eastAsia="宋体" w:cs="Times New Roman"/>
                <w:sz w:val="24"/>
              </w:rPr>
              <w:t xml:space="preserve">项目属性：</w:t>
            </w:r>
            <w:r>
              <w:rPr>
                <w:rFonts w:hint="eastAsia" w:cs="Times New Roman"/>
                <w:sz w:val="24"/>
                <w:lang w:val="en-US" w:eastAsia="zh-CN"/>
              </w:rPr>
              <w:t xml:space="preserve">服务</w:t>
            </w:r>
            <w:r/>
          </w:p>
        </w:tc>
      </w:tr>
      <w:tr>
        <w:trPr>
          <w:jc w:val="center"/>
          <w:trHeight w:val="556"/>
        </w:trPr>
        <w:tc>
          <w:tcPr>
            <w:tcW w:w="988" w:type="dxa"/>
            <w:vAlign w:val="center"/>
            <w:textDirection w:val="lrTb"/>
            <w:noWrap w:val="false"/>
          </w:tcPr>
          <w:p>
            <w:pPr>
              <w:pStyle w:val="1070"/>
              <w:jc w:val="center"/>
              <w:rPr>
                <w:rFonts w:ascii="Times New Roman" w:hAnsi="Times New Roman"/>
                <w:sz w:val="24"/>
                <w:szCs w:val="24"/>
              </w:rPr>
            </w:pPr>
            <w:r>
              <w:rPr>
                <w:rFonts w:ascii="Times New Roman" w:hAnsi="Times New Roman"/>
                <w:sz w:val="24"/>
                <w:szCs w:val="24"/>
              </w:rPr>
              <w:t xml:space="preserve">2.3</w:t>
            </w:r>
            <w:r/>
          </w:p>
        </w:tc>
        <w:tc>
          <w:tcPr>
            <w:tcW w:w="1701" w:type="dxa"/>
            <w:vAlign w:val="center"/>
            <w:textDirection w:val="lrTb"/>
            <w:noWrap w:val="false"/>
          </w:tcPr>
          <w:p>
            <w:pPr>
              <w:jc w:val="center"/>
              <w:rPr>
                <w:sz w:val="24"/>
              </w:rPr>
            </w:pPr>
            <w:r>
              <w:rPr>
                <w:sz w:val="24"/>
              </w:rPr>
              <w:t xml:space="preserve">科研仪器设备</w:t>
            </w:r>
            <w:r/>
          </w:p>
        </w:tc>
        <w:tc>
          <w:tcPr>
            <w:tcW w:w="7253" w:type="dxa"/>
            <w:vAlign w:val="center"/>
            <w:textDirection w:val="lrTb"/>
            <w:noWrap w:val="false"/>
          </w:tcPr>
          <w:p>
            <w:pPr>
              <w:jc w:val="left"/>
              <w:rPr>
                <w:sz w:val="24"/>
              </w:rPr>
            </w:pPr>
            <w:r>
              <w:rPr>
                <w:sz w:val="24"/>
              </w:rPr>
              <w:t xml:space="preserve">是否属于科研仪器设备采购项目：否</w:t>
            </w:r>
            <w:r/>
          </w:p>
        </w:tc>
      </w:tr>
      <w:tr>
        <w:trPr>
          <w:jc w:val="center"/>
          <w:trHeight w:val="486"/>
        </w:trPr>
        <w:tc>
          <w:tcPr>
            <w:tcW w:w="988" w:type="dxa"/>
            <w:vAlign w:val="center"/>
            <w:vMerge w:val="restart"/>
            <w:textDirection w:val="lrTb"/>
            <w:noWrap w:val="false"/>
          </w:tcPr>
          <w:p>
            <w:pPr>
              <w:pStyle w:val="1070"/>
              <w:jc w:val="center"/>
              <w:rPr>
                <w:rFonts w:ascii="Times New Roman" w:hAnsi="Times New Roman"/>
                <w:sz w:val="24"/>
                <w:szCs w:val="24"/>
              </w:rPr>
            </w:pPr>
            <w:r>
              <w:rPr>
                <w:rFonts w:ascii="Times New Roman" w:hAnsi="Times New Roman"/>
                <w:sz w:val="24"/>
                <w:szCs w:val="24"/>
              </w:rPr>
              <w:t xml:space="preserve">3.1</w:t>
            </w:r>
            <w:r/>
          </w:p>
        </w:tc>
        <w:tc>
          <w:tcPr>
            <w:tcW w:w="1701" w:type="dxa"/>
            <w:vAlign w:val="center"/>
            <w:textDirection w:val="lrTb"/>
            <w:noWrap w:val="false"/>
          </w:tcPr>
          <w:p>
            <w:pPr>
              <w:jc w:val="center"/>
              <w:rPr>
                <w:sz w:val="24"/>
              </w:rPr>
            </w:pPr>
            <w:r>
              <w:rPr>
                <w:sz w:val="24"/>
              </w:rPr>
              <w:t xml:space="preserve">现场考察</w:t>
            </w:r>
            <w:r/>
          </w:p>
        </w:tc>
        <w:tc>
          <w:tcPr>
            <w:tcW w:w="7253" w:type="dxa"/>
            <w:vAlign w:val="center"/>
            <w:textDirection w:val="lrTb"/>
            <w:noWrap w:val="false"/>
          </w:tcPr>
          <w:p>
            <w:pPr>
              <w:pStyle w:val="1070"/>
              <w:rPr>
                <w:rFonts w:ascii="Times New Roman" w:hAnsi="Times New Roman"/>
                <w:sz w:val="24"/>
                <w:szCs w:val="24"/>
              </w:rPr>
            </w:pPr>
            <w:r>
              <w:rPr>
                <w:sz w:val="24"/>
              </w:rPr>
              <w:t xml:space="preserve">不组织</w:t>
            </w:r>
            <w:r/>
          </w:p>
        </w:tc>
      </w:tr>
      <w:tr>
        <w:trPr>
          <w:jc w:val="center"/>
          <w:trHeight w:val="509"/>
        </w:trPr>
        <w:tc>
          <w:tcPr>
            <w:tcW w:w="988" w:type="dxa"/>
            <w:vAlign w:val="center"/>
            <w:vMerge w:val="continue"/>
            <w:textDirection w:val="lrTb"/>
            <w:noWrap w:val="false"/>
          </w:tcPr>
          <w:p>
            <w:pPr>
              <w:pStyle w:val="1070"/>
              <w:jc w:val="center"/>
              <w:rPr>
                <w:rFonts w:ascii="Times New Roman" w:hAnsi="Times New Roman"/>
                <w:sz w:val="24"/>
                <w:szCs w:val="24"/>
              </w:rPr>
            </w:pPr>
            <w:r>
              <w:rPr>
                <w:rFonts w:ascii="Times New Roman" w:hAnsi="Times New Roman"/>
                <w:sz w:val="24"/>
                <w:szCs w:val="24"/>
              </w:rPr>
            </w:r>
            <w:r/>
          </w:p>
        </w:tc>
        <w:tc>
          <w:tcPr>
            <w:tcW w:w="1701" w:type="dxa"/>
            <w:vAlign w:val="center"/>
            <w:textDirection w:val="lrTb"/>
            <w:noWrap w:val="false"/>
          </w:tcPr>
          <w:p>
            <w:pPr>
              <w:jc w:val="center"/>
              <w:rPr>
                <w:sz w:val="24"/>
              </w:rPr>
            </w:pPr>
            <w:r>
              <w:rPr>
                <w:sz w:val="24"/>
              </w:rPr>
              <w:t xml:space="preserve">磋商前答疑会</w:t>
            </w:r>
            <w:r/>
          </w:p>
        </w:tc>
        <w:tc>
          <w:tcPr>
            <w:tcW w:w="7253" w:type="dxa"/>
            <w:vAlign w:val="center"/>
            <w:textDirection w:val="lrTb"/>
            <w:noWrap w:val="false"/>
          </w:tcPr>
          <w:p>
            <w:pPr>
              <w:jc w:val="left"/>
              <w:rPr>
                <w:sz w:val="24"/>
              </w:rPr>
            </w:pPr>
            <w:r>
              <w:rPr>
                <w:sz w:val="24"/>
              </w:rPr>
              <w:t xml:space="preserve">不召开</w:t>
            </w:r>
            <w:r/>
          </w:p>
        </w:tc>
      </w:tr>
      <w:tr>
        <w:trPr>
          <w:jc w:val="center"/>
          <w:trHeight w:val="825"/>
        </w:trPr>
        <w:tc>
          <w:tcPr>
            <w:tcW w:w="988" w:type="dxa"/>
            <w:vAlign w:val="center"/>
            <w:textDirection w:val="lrTb"/>
            <w:noWrap w:val="false"/>
          </w:tcPr>
          <w:p>
            <w:pPr>
              <w:pStyle w:val="1070"/>
              <w:jc w:val="center"/>
              <w:rPr>
                <w:rFonts w:ascii="Times New Roman" w:hAnsi="Times New Roman"/>
                <w:sz w:val="24"/>
                <w:szCs w:val="24"/>
              </w:rPr>
            </w:pPr>
            <w:r>
              <w:rPr>
                <w:rFonts w:ascii="Times New Roman" w:hAnsi="Times New Roman"/>
                <w:sz w:val="24"/>
                <w:szCs w:val="24"/>
              </w:rPr>
              <w:t xml:space="preserve">4.2.5</w:t>
            </w:r>
            <w:r/>
          </w:p>
        </w:tc>
        <w:tc>
          <w:tcPr>
            <w:tcW w:w="1701" w:type="dxa"/>
            <w:vAlign w:val="center"/>
            <w:textDirection w:val="lrTb"/>
            <w:noWrap w:val="false"/>
          </w:tcPr>
          <w:p>
            <w:pPr>
              <w:jc w:val="center"/>
              <w:rPr>
                <w:sz w:val="24"/>
              </w:rPr>
            </w:pPr>
            <w:r>
              <w:rPr>
                <w:sz w:val="24"/>
              </w:rPr>
              <w:t xml:space="preserve">标的所属行业</w:t>
            </w:r>
            <w:r/>
          </w:p>
        </w:tc>
        <w:tc>
          <w:tcPr>
            <w:tcW w:w="7253" w:type="dxa"/>
            <w:vAlign w:val="center"/>
            <w:textDirection w:val="lrTb"/>
            <w:noWrap w:val="false"/>
          </w:tcPr>
          <w:p>
            <w:pPr>
              <w:jc w:val="left"/>
              <w:rPr>
                <w:sz w:val="24"/>
              </w:rPr>
            </w:pPr>
            <w:r>
              <w:rPr>
                <w:rFonts w:ascii="Times New Roman" w:hAnsi="Times New Roman" w:eastAsia="宋体" w:cs="Times New Roman"/>
                <w:sz w:val="24"/>
              </w:rPr>
              <w:t xml:space="preserve">本项目采购标的对应的中小企业划分标准所属行业：</w:t>
            </w:r>
            <w:r>
              <w:rPr>
                <w:rFonts w:hint="eastAsia" w:ascii="Times New Roman" w:hAnsi="Times New Roman" w:eastAsia="宋体" w:cs="Times New Roman"/>
                <w:sz w:val="24"/>
              </w:rPr>
              <w:t xml:space="preserve"> </w:t>
            </w:r>
            <w:r>
              <w:rPr>
                <w:rFonts w:hint="eastAsia"/>
                <w:sz w:val="24"/>
                <w:u w:val="single"/>
              </w:rPr>
              <w:t xml:space="preserve">其他未列明行业</w:t>
            </w:r>
            <w:r>
              <w:rPr>
                <w:rFonts w:hint="eastAsia" w:ascii="Times New Roman" w:hAnsi="Times New Roman" w:eastAsia="宋体" w:cs="Times New Roman"/>
                <w:sz w:val="24"/>
              </w:rPr>
              <w:t xml:space="preserve"> </w:t>
            </w:r>
            <w:r/>
          </w:p>
        </w:tc>
      </w:tr>
      <w:tr>
        <w:trPr>
          <w:jc w:val="center"/>
          <w:trHeight w:val="591"/>
        </w:trPr>
        <w:tc>
          <w:tcPr>
            <w:tcW w:w="988" w:type="dxa"/>
            <w:vAlign w:val="center"/>
            <w:textDirection w:val="lrTb"/>
            <w:noWrap w:val="false"/>
          </w:tcPr>
          <w:p>
            <w:pPr>
              <w:pStyle w:val="1070"/>
              <w:jc w:val="center"/>
              <w:rPr>
                <w:rFonts w:ascii="Times New Roman" w:hAnsi="Times New Roman"/>
                <w:sz w:val="24"/>
                <w:szCs w:val="24"/>
              </w:rPr>
            </w:pPr>
            <w:r>
              <w:rPr>
                <w:rFonts w:ascii="Times New Roman" w:hAnsi="Times New Roman"/>
                <w:sz w:val="24"/>
                <w:szCs w:val="24"/>
              </w:rPr>
              <w:t xml:space="preserve">10.2</w:t>
            </w:r>
            <w:r/>
          </w:p>
        </w:tc>
        <w:tc>
          <w:tcPr>
            <w:tcW w:w="1701" w:type="dxa"/>
            <w:vAlign w:val="center"/>
            <w:textDirection w:val="lrTb"/>
            <w:noWrap w:val="false"/>
          </w:tcPr>
          <w:p>
            <w:pPr>
              <w:jc w:val="center"/>
              <w:rPr>
                <w:sz w:val="24"/>
              </w:rPr>
            </w:pPr>
            <w:r>
              <w:rPr>
                <w:sz w:val="24"/>
              </w:rPr>
              <w:t xml:space="preserve">报价</w:t>
            </w:r>
            <w:r/>
          </w:p>
        </w:tc>
        <w:tc>
          <w:tcPr>
            <w:tcW w:w="7253" w:type="dxa"/>
            <w:vAlign w:val="center"/>
            <w:textDirection w:val="lrTb"/>
            <w:noWrap w:val="false"/>
          </w:tcPr>
          <w:p>
            <w:pPr>
              <w:jc w:val="left"/>
              <w:rPr>
                <w:sz w:val="24"/>
              </w:rPr>
            </w:pPr>
            <w:r>
              <w:rPr>
                <w:sz w:val="24"/>
              </w:rPr>
              <w:t xml:space="preserve">报价的特殊规定：无</w:t>
            </w:r>
            <w:r/>
          </w:p>
        </w:tc>
      </w:tr>
      <w:tr>
        <w:trPr>
          <w:jc w:val="center"/>
          <w:trHeight w:val="499"/>
        </w:trPr>
        <w:tc>
          <w:tcPr>
            <w:tcW w:w="988" w:type="dxa"/>
            <w:vAlign w:val="center"/>
            <w:textDirection w:val="lrTb"/>
            <w:noWrap w:val="false"/>
          </w:tcPr>
          <w:p>
            <w:pPr>
              <w:pStyle w:val="1070"/>
              <w:jc w:val="center"/>
              <w:rPr>
                <w:rFonts w:ascii="Times New Roman" w:hAnsi="Times New Roman"/>
                <w:sz w:val="24"/>
                <w:szCs w:val="24"/>
              </w:rPr>
            </w:pPr>
            <w:r>
              <w:rPr>
                <w:rFonts w:ascii="Times New Roman" w:hAnsi="Times New Roman"/>
                <w:sz w:val="24"/>
                <w:szCs w:val="24"/>
              </w:rPr>
              <w:t xml:space="preserve">11.1</w:t>
            </w:r>
            <w:r/>
          </w:p>
        </w:tc>
        <w:tc>
          <w:tcPr>
            <w:tcW w:w="1701" w:type="dxa"/>
            <w:vAlign w:val="center"/>
            <w:textDirection w:val="lrTb"/>
            <w:noWrap w:val="false"/>
          </w:tcPr>
          <w:p>
            <w:pPr>
              <w:jc w:val="center"/>
              <w:rPr>
                <w:sz w:val="24"/>
              </w:rPr>
            </w:pPr>
            <w:r>
              <w:rPr>
                <w:sz w:val="24"/>
              </w:rPr>
              <w:t xml:space="preserve">磋商保证金</w:t>
            </w:r>
            <w:r/>
          </w:p>
        </w:tc>
        <w:tc>
          <w:tcPr>
            <w:tcW w:w="7253" w:type="dxa"/>
            <w:vAlign w:val="center"/>
            <w:textDirection w:val="lrTb"/>
            <w:noWrap w:val="false"/>
          </w:tcPr>
          <w:p>
            <w:pPr>
              <w:jc w:val="left"/>
              <w:rPr>
                <w:sz w:val="24"/>
              </w:rPr>
            </w:pPr>
            <w:r>
              <w:rPr>
                <w:rFonts w:hint="eastAsia"/>
                <w:sz w:val="24"/>
              </w:rPr>
              <w:t xml:space="preserve">免收</w:t>
            </w:r>
            <w:r/>
          </w:p>
        </w:tc>
      </w:tr>
      <w:tr>
        <w:trPr>
          <w:jc w:val="center"/>
          <w:trHeight w:val="602"/>
        </w:trPr>
        <w:tc>
          <w:tcPr>
            <w:tcW w:w="988" w:type="dxa"/>
            <w:vAlign w:val="center"/>
            <w:textDirection w:val="lrTb"/>
            <w:noWrap w:val="false"/>
          </w:tcPr>
          <w:p>
            <w:pPr>
              <w:pStyle w:val="1070"/>
              <w:jc w:val="center"/>
              <w:rPr>
                <w:rFonts w:ascii="Times New Roman" w:hAnsi="Times New Roman"/>
                <w:sz w:val="24"/>
                <w:szCs w:val="24"/>
              </w:rPr>
            </w:pPr>
            <w:r>
              <w:rPr>
                <w:rFonts w:ascii="Times New Roman" w:hAnsi="Times New Roman"/>
                <w:sz w:val="24"/>
                <w:szCs w:val="24"/>
              </w:rPr>
              <w:t xml:space="preserve">12.1</w:t>
            </w:r>
            <w:r/>
          </w:p>
        </w:tc>
        <w:tc>
          <w:tcPr>
            <w:tcW w:w="1701" w:type="dxa"/>
            <w:vAlign w:val="center"/>
            <w:textDirection w:val="lrTb"/>
            <w:noWrap w:val="false"/>
          </w:tcPr>
          <w:p>
            <w:pPr>
              <w:jc w:val="center"/>
              <w:rPr>
                <w:sz w:val="24"/>
              </w:rPr>
            </w:pPr>
            <w:r>
              <w:rPr>
                <w:sz w:val="24"/>
              </w:rPr>
              <w:t xml:space="preserve">响应有效期</w:t>
            </w:r>
            <w:r/>
          </w:p>
        </w:tc>
        <w:tc>
          <w:tcPr>
            <w:tcW w:w="7253" w:type="dxa"/>
            <w:vAlign w:val="center"/>
            <w:textDirection w:val="lrTb"/>
            <w:noWrap w:val="false"/>
          </w:tcPr>
          <w:p>
            <w:pPr>
              <w:jc w:val="left"/>
              <w:rPr>
                <w:sz w:val="24"/>
              </w:rPr>
            </w:pPr>
            <w:r>
              <w:rPr>
                <w:sz w:val="24"/>
              </w:rPr>
              <w:t xml:space="preserve">自提交响应文件的截止之日起算</w:t>
            </w:r>
            <w:r>
              <w:rPr>
                <w:rFonts w:hint="eastAsia"/>
                <w:sz w:val="24"/>
                <w:u w:val="single"/>
                <w:lang w:val="en-US" w:eastAsia="zh-CN"/>
              </w:rPr>
              <w:t xml:space="preserve"> 60 </w:t>
            </w:r>
            <w:r>
              <w:rPr>
                <w:sz w:val="24"/>
              </w:rPr>
              <w:t xml:space="preserve">日历天。</w:t>
            </w:r>
            <w:r/>
          </w:p>
        </w:tc>
      </w:tr>
      <w:tr>
        <w:trPr>
          <w:jc w:val="center"/>
          <w:trHeight w:val="545"/>
        </w:trPr>
        <w:tc>
          <w:tcPr>
            <w:tcW w:w="988" w:type="dxa"/>
            <w:vAlign w:val="center"/>
            <w:textDirection w:val="lrTb"/>
            <w:noWrap w:val="false"/>
          </w:tcPr>
          <w:p>
            <w:pPr>
              <w:pStyle w:val="1070"/>
              <w:jc w:val="center"/>
              <w:rPr>
                <w:rFonts w:ascii="Times New Roman" w:hAnsi="Times New Roman"/>
                <w:sz w:val="24"/>
                <w:szCs w:val="24"/>
              </w:rPr>
            </w:pPr>
            <w:r>
              <w:rPr>
                <w:rFonts w:ascii="Times New Roman" w:hAnsi="Times New Roman"/>
                <w:sz w:val="24"/>
                <w:szCs w:val="24"/>
              </w:rPr>
              <w:t xml:space="preserve">23.5</w:t>
            </w:r>
            <w:r/>
          </w:p>
        </w:tc>
        <w:tc>
          <w:tcPr>
            <w:tcW w:w="1701" w:type="dxa"/>
            <w:vAlign w:val="center"/>
            <w:textDirection w:val="lrTb"/>
            <w:noWrap w:val="false"/>
          </w:tcPr>
          <w:p>
            <w:pPr>
              <w:jc w:val="center"/>
              <w:rPr>
                <w:sz w:val="24"/>
              </w:rPr>
            </w:pPr>
            <w:r>
              <w:rPr>
                <w:sz w:val="24"/>
              </w:rPr>
              <w:t xml:space="preserve">分包</w:t>
            </w:r>
            <w:r/>
          </w:p>
        </w:tc>
        <w:tc>
          <w:tcPr>
            <w:tcW w:w="7253" w:type="dxa"/>
            <w:vAlign w:val="center"/>
            <w:textDirection w:val="lrTb"/>
            <w:noWrap w:val="false"/>
          </w:tcPr>
          <w:p>
            <w:pPr>
              <w:jc w:val="left"/>
              <w:rPr>
                <w:sz w:val="24"/>
                <w:u w:val="single"/>
              </w:rPr>
            </w:pPr>
            <w:r>
              <w:rPr>
                <w:sz w:val="24"/>
              </w:rPr>
              <w:t xml:space="preserve">本项目是否允许分包：不允许</w:t>
            </w:r>
            <w:r/>
          </w:p>
        </w:tc>
      </w:tr>
      <w:tr>
        <w:trPr>
          <w:jc w:val="center"/>
          <w:trHeight w:val="20"/>
        </w:trPr>
        <w:tc>
          <w:tcPr>
            <w:tcW w:w="988" w:type="dxa"/>
            <w:vAlign w:val="center"/>
            <w:textDirection w:val="lrTb"/>
            <w:noWrap w:val="false"/>
          </w:tcPr>
          <w:p>
            <w:pPr>
              <w:pStyle w:val="1070"/>
              <w:jc w:val="center"/>
              <w:rPr>
                <w:rFonts w:ascii="Times New Roman" w:hAnsi="Times New Roman"/>
                <w:sz w:val="24"/>
                <w:szCs w:val="24"/>
              </w:rPr>
            </w:pPr>
            <w:r>
              <w:rPr>
                <w:rFonts w:ascii="Times New Roman" w:hAnsi="Times New Roman"/>
                <w:sz w:val="24"/>
                <w:szCs w:val="24"/>
              </w:rPr>
              <w:t xml:space="preserve">24.1.1</w:t>
            </w:r>
            <w:r/>
          </w:p>
        </w:tc>
        <w:tc>
          <w:tcPr>
            <w:tcW w:w="1701" w:type="dxa"/>
            <w:vAlign w:val="center"/>
            <w:textDirection w:val="lrTb"/>
            <w:noWrap w:val="false"/>
          </w:tcPr>
          <w:p>
            <w:pPr>
              <w:jc w:val="center"/>
              <w:rPr>
                <w:sz w:val="24"/>
              </w:rPr>
            </w:pPr>
            <w:r>
              <w:rPr>
                <w:sz w:val="24"/>
              </w:rPr>
              <w:t xml:space="preserve">询问</w:t>
            </w:r>
            <w:r/>
          </w:p>
        </w:tc>
        <w:tc>
          <w:tcPr>
            <w:tcW w:w="7253" w:type="dxa"/>
            <w:vAlign w:val="center"/>
            <w:textDirection w:val="lrTb"/>
            <w:noWrap w:val="false"/>
          </w:tcPr>
          <w:p>
            <w:pPr>
              <w:jc w:val="left"/>
              <w:rPr>
                <w:rFonts w:hint="eastAsia"/>
                <w:sz w:val="24"/>
              </w:rPr>
            </w:pPr>
            <w:r>
              <w:rPr>
                <w:sz w:val="24"/>
              </w:rPr>
              <w:t xml:space="preserve">询问送达形式：</w:t>
            </w:r>
            <w:r>
              <w:rPr>
                <w:rFonts w:hint="eastAsia"/>
                <w:sz w:val="24"/>
              </w:rPr>
              <w:t xml:space="preserve">书面原件形式递交。（注：询问函：① 必须加盖投标人公章；② 以采购代理机构收到时间为准。否则采购代理机构有权拒收其询问函） </w:t>
            </w:r>
            <w:r/>
          </w:p>
          <w:p>
            <w:pPr>
              <w:jc w:val="left"/>
              <w:rPr>
                <w:sz w:val="24"/>
              </w:rPr>
            </w:pPr>
            <w:r>
              <w:rPr>
                <w:rFonts w:hint="eastAsia"/>
                <w:sz w:val="24"/>
              </w:rPr>
              <w:t xml:space="preserve">询问时间：202</w:t>
            </w:r>
            <w:r>
              <w:rPr>
                <w:rFonts w:hint="eastAsia"/>
                <w:sz w:val="24"/>
                <w:lang w:val="en-US" w:eastAsia="zh-CN"/>
              </w:rPr>
              <w:t xml:space="preserve">6</w:t>
            </w:r>
            <w:r>
              <w:rPr>
                <w:rFonts w:hint="eastAsia"/>
                <w:sz w:val="24"/>
              </w:rPr>
              <w:t xml:space="preserve">年</w:t>
            </w:r>
            <w:r>
              <w:rPr>
                <w:rFonts w:hint="eastAsia"/>
                <w:sz w:val="24"/>
                <w:lang w:val="en-US" w:eastAsia="zh-CN"/>
              </w:rPr>
              <w:t xml:space="preserve">1</w:t>
            </w:r>
            <w:r>
              <w:rPr>
                <w:rFonts w:hint="eastAsia"/>
                <w:sz w:val="24"/>
              </w:rPr>
              <w:t xml:space="preserve">月</w:t>
            </w:r>
            <w:r>
              <w:rPr>
                <w:rFonts w:hint="eastAsia"/>
                <w:sz w:val="24"/>
                <w:lang w:val="en-US" w:eastAsia="zh-CN"/>
              </w:rPr>
              <w:t xml:space="preserve">15</w:t>
            </w:r>
            <w:bookmarkStart w:id="742" w:name="_GoBack"/>
            <w:r/>
            <w:bookmarkEnd w:id="742"/>
            <w:r>
              <w:rPr>
                <w:rFonts w:hint="eastAsia"/>
                <w:sz w:val="24"/>
              </w:rPr>
              <w:t xml:space="preserve">日</w:t>
            </w:r>
            <w:r>
              <w:rPr>
                <w:rFonts w:hint="eastAsia"/>
                <w:sz w:val="24"/>
                <w:lang w:val="en-US" w:eastAsia="zh-CN"/>
              </w:rPr>
              <w:t xml:space="preserve">20</w:t>
            </w:r>
            <w:r>
              <w:rPr>
                <w:rFonts w:hint="eastAsia"/>
                <w:sz w:val="24"/>
              </w:rPr>
              <w:t xml:space="preserve">:00前</w:t>
            </w:r>
            <w:r/>
          </w:p>
        </w:tc>
      </w:tr>
      <w:tr>
        <w:trPr>
          <w:jc w:val="center"/>
          <w:trHeight w:val="90"/>
        </w:trPr>
        <w:tc>
          <w:tcPr>
            <w:tcW w:w="988" w:type="dxa"/>
            <w:vAlign w:val="center"/>
            <w:textDirection w:val="lrTb"/>
            <w:noWrap w:val="false"/>
          </w:tcPr>
          <w:p>
            <w:pPr>
              <w:pStyle w:val="1070"/>
              <w:jc w:val="center"/>
              <w:rPr>
                <w:rFonts w:ascii="Times New Roman" w:hAnsi="Times New Roman"/>
                <w:sz w:val="24"/>
                <w:szCs w:val="24"/>
              </w:rPr>
            </w:pPr>
            <w:r>
              <w:rPr>
                <w:rFonts w:ascii="Times New Roman" w:hAnsi="Times New Roman"/>
                <w:sz w:val="24"/>
                <w:szCs w:val="24"/>
              </w:rPr>
              <w:t xml:space="preserve">24.3</w:t>
            </w:r>
            <w:r/>
          </w:p>
        </w:tc>
        <w:tc>
          <w:tcPr>
            <w:tcW w:w="1701" w:type="dxa"/>
            <w:vAlign w:val="center"/>
            <w:textDirection w:val="lrTb"/>
            <w:noWrap w:val="false"/>
          </w:tcPr>
          <w:p>
            <w:pPr>
              <w:jc w:val="center"/>
              <w:rPr>
                <w:sz w:val="24"/>
              </w:rPr>
            </w:pPr>
            <w:r>
              <w:rPr>
                <w:sz w:val="24"/>
              </w:rPr>
              <w:t xml:space="preserve">联系方式</w:t>
            </w:r>
            <w:r/>
          </w:p>
        </w:tc>
        <w:tc>
          <w:tcPr>
            <w:tcW w:w="7253" w:type="dxa"/>
            <w:vAlign w:val="center"/>
            <w:textDirection w:val="lrTb"/>
            <w:noWrap w:val="false"/>
          </w:tcPr>
          <w:p>
            <w:pPr>
              <w:jc w:val="left"/>
              <w:rPr>
                <w:sz w:val="24"/>
              </w:rPr>
            </w:pPr>
            <w:r>
              <w:rPr>
                <w:sz w:val="24"/>
              </w:rPr>
              <w:t xml:space="preserve">接收询问和质疑的联系方式</w:t>
            </w:r>
            <w:r/>
          </w:p>
          <w:p>
            <w:pPr>
              <w:jc w:val="left"/>
              <w:rPr>
                <w:rFonts w:hint="eastAsia"/>
                <w:sz w:val="24"/>
              </w:rPr>
            </w:pPr>
            <w:r>
              <w:rPr>
                <w:rFonts w:hint="eastAsia"/>
                <w:sz w:val="24"/>
              </w:rPr>
              <w:t xml:space="preserve">联系部门：</w:t>
            </w:r>
            <w:r>
              <w:rPr>
                <w:rFonts w:hint="eastAsia"/>
                <w:sz w:val="24"/>
                <w:lang w:eastAsia="zh-CN"/>
              </w:rPr>
              <w:t xml:space="preserve">江苏恒卓工程管理咨询有限公司</w:t>
            </w:r>
            <w:r>
              <w:rPr>
                <w:rFonts w:hint="eastAsia"/>
                <w:sz w:val="24"/>
              </w:rPr>
              <w:t xml:space="preserve">；</w:t>
            </w:r>
            <w:r/>
          </w:p>
          <w:p>
            <w:pPr>
              <w:jc w:val="left"/>
              <w:rPr>
                <w:rFonts w:hint="eastAsia"/>
                <w:sz w:val="24"/>
              </w:rPr>
            </w:pPr>
            <w:r>
              <w:rPr>
                <w:rFonts w:hint="eastAsia"/>
                <w:sz w:val="24"/>
              </w:rPr>
              <w:t xml:space="preserve">联系电话：0519-68910808；</w:t>
            </w:r>
            <w:r/>
          </w:p>
          <w:p>
            <w:pPr>
              <w:jc w:val="left"/>
              <w:rPr>
                <w:sz w:val="24"/>
              </w:rPr>
            </w:pPr>
            <w:r>
              <w:rPr>
                <w:rFonts w:hint="eastAsia"/>
                <w:sz w:val="24"/>
              </w:rPr>
              <w:t xml:space="preserve">通讯地址：</w:t>
            </w:r>
            <w:r>
              <w:rPr>
                <w:rFonts w:hint="eastAsia"/>
                <w:sz w:val="24"/>
                <w:lang w:eastAsia="zh-CN"/>
              </w:rPr>
              <w:t xml:space="preserve">溧阳市游子吟大道19号通用路桥大楼8楼</w:t>
            </w:r>
            <w:r>
              <w:rPr>
                <w:rFonts w:hint="eastAsia"/>
                <w:sz w:val="24"/>
              </w:rPr>
              <w:t xml:space="preserve">。</w:t>
            </w:r>
            <w:r/>
          </w:p>
        </w:tc>
      </w:tr>
      <w:tr>
        <w:trPr>
          <w:jc w:val="center"/>
          <w:trHeight w:val="2234"/>
        </w:trPr>
        <w:tc>
          <w:tcPr>
            <w:tcW w:w="988" w:type="dxa"/>
            <w:vAlign w:val="center"/>
            <w:textDirection w:val="lrTb"/>
            <w:noWrap w:val="false"/>
          </w:tcPr>
          <w:p>
            <w:pPr>
              <w:pStyle w:val="1070"/>
              <w:jc w:val="center"/>
              <w:rPr>
                <w:rFonts w:ascii="Times New Roman" w:hAnsi="Times New Roman"/>
                <w:sz w:val="24"/>
                <w:szCs w:val="24"/>
              </w:rPr>
            </w:pPr>
            <w:r>
              <w:rPr>
                <w:rFonts w:ascii="Times New Roman" w:hAnsi="Times New Roman"/>
                <w:sz w:val="24"/>
                <w:szCs w:val="24"/>
              </w:rPr>
              <w:t xml:space="preserve">25</w:t>
            </w:r>
            <w:r/>
          </w:p>
        </w:tc>
        <w:tc>
          <w:tcPr>
            <w:tcW w:w="1701" w:type="dxa"/>
            <w:vAlign w:val="center"/>
            <w:textDirection w:val="lrTb"/>
            <w:noWrap w:val="false"/>
          </w:tcPr>
          <w:p>
            <w:pPr>
              <w:jc w:val="center"/>
              <w:rPr>
                <w:sz w:val="24"/>
              </w:rPr>
            </w:pPr>
            <w:r>
              <w:rPr>
                <w:sz w:val="24"/>
              </w:rPr>
              <w:t xml:space="preserve">代理费</w:t>
            </w:r>
            <w:r/>
          </w:p>
        </w:tc>
        <w:tc>
          <w:tcPr>
            <w:tcW w:w="7253" w:type="dxa"/>
            <w:vAlign w:val="center"/>
            <w:textDirection w:val="lrTb"/>
            <w:noWrap w:val="false"/>
          </w:tcPr>
          <w:p>
            <w:pPr>
              <w:jc w:val="left"/>
              <w:rPr>
                <w:rFonts w:hint="default"/>
                <w:sz w:val="24"/>
              </w:rPr>
            </w:pPr>
            <w:r>
              <w:rPr>
                <w:rFonts w:hint="default"/>
                <w:sz w:val="24"/>
              </w:rPr>
              <w:t xml:space="preserve">收费对象：成交供应商</w:t>
            </w:r>
            <w:r/>
          </w:p>
          <w:p>
            <w:pPr>
              <w:jc w:val="left"/>
              <w:rPr>
                <w:rFonts w:hint="default"/>
                <w:sz w:val="24"/>
              </w:rPr>
            </w:pPr>
            <w:r>
              <w:rPr>
                <w:rFonts w:hint="eastAsia"/>
                <w:sz w:val="24"/>
              </w:rPr>
              <w:t xml:space="preserve">收费标准：按江苏省政府采购协会(苏政采协[2024]20号)《江苏省政府采购代理服务收费指导意见》收费指导价标准收取。</w:t>
            </w:r>
            <w:r/>
          </w:p>
          <w:p>
            <w:pPr>
              <w:jc w:val="left"/>
              <w:rPr>
                <w:rFonts w:hint="default"/>
                <w:sz w:val="24"/>
              </w:rPr>
            </w:pPr>
            <w:r>
              <w:rPr>
                <w:rFonts w:hint="eastAsia"/>
                <w:sz w:val="24"/>
              </w:rPr>
              <w:t xml:space="preserve">收款单位：江苏恒卓工程管理咨询有限公司溧阳分公司</w:t>
            </w:r>
            <w:r/>
          </w:p>
          <w:p>
            <w:pPr>
              <w:jc w:val="left"/>
              <w:rPr>
                <w:sz w:val="24"/>
              </w:rPr>
            </w:pPr>
            <w:r>
              <w:rPr>
                <w:rFonts w:hint="eastAsia"/>
                <w:sz w:val="24"/>
              </w:rPr>
              <w:t xml:space="preserve">缴纳时间：领取中标通知书前。</w:t>
            </w:r>
            <w:r/>
          </w:p>
        </w:tc>
      </w:tr>
      <w:tr>
        <w:trPr>
          <w:jc w:val="center"/>
          <w:trHeight w:val="2234"/>
        </w:trPr>
        <w:tc>
          <w:tcPr>
            <w:tcW w:w="988" w:type="dxa"/>
            <w:vAlign w:val="center"/>
            <w:textDirection w:val="lrTb"/>
            <w:noWrap w:val="false"/>
          </w:tcPr>
          <w:p>
            <w:pPr>
              <w:pStyle w:val="863"/>
              <w:jc w:val="center"/>
              <w:rPr>
                <w:rFonts w:ascii="Times New Roman" w:hAnsi="Times New Roman"/>
                <w:sz w:val="24"/>
                <w:szCs w:val="24"/>
              </w:rPr>
            </w:pPr>
            <w:r>
              <w:rPr>
                <w:rFonts w:hint="eastAsia" w:ascii="宋体" w:hAnsi="宋体" w:eastAsia="宋体" w:cs="宋体"/>
                <w:sz w:val="24"/>
                <w:szCs w:val="24"/>
                <w:lang w:val="en-US" w:eastAsia="zh-CN"/>
              </w:rPr>
              <w:t xml:space="preserve">28</w:t>
            </w:r>
            <w:r/>
          </w:p>
        </w:tc>
        <w:tc>
          <w:tcPr>
            <w:tcW w:w="1701" w:type="dxa"/>
            <w:vAlign w:val="center"/>
            <w:textDirection w:val="lrTb"/>
            <w:noWrap w:val="false"/>
          </w:tcPr>
          <w:p>
            <w:pPr>
              <w:ind w:left="0" w:right="0" w:firstLine="0"/>
              <w:jc w:val="center"/>
              <w:spacing w:before="0" w:after="0" w:line="240" w:lineRule="auto"/>
              <w:rPr>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其他</w:t>
            </w:r>
            <w:r/>
          </w:p>
        </w:tc>
        <w:tc>
          <w:tcPr>
            <w:tcW w:w="7253" w:type="dxa"/>
            <w:vAlign w:val="center"/>
            <w:textDirection w:val="lrTb"/>
            <w:noWrap w:val="false"/>
          </w:tcPr>
          <w:p>
            <w:pPr>
              <w:ind w:left="0" w:right="0" w:firstLine="0"/>
              <w:spacing w:before="0" w:after="0" w:line="240" w:lineRule="auto"/>
              <w:rPr>
                <w:rFonts w:hint="eastAsia" w:ascii="宋体" w:hAnsi="宋体" w:eastAsia="宋体" w:cs="宋体"/>
                <w:color w:val="000000"/>
                <w:sz w:val="24"/>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none"/>
              </w:rPr>
              <w:t xml:space="preserve">评审过程中出现下列情形之一的，评审委员会应当启动异常低价投标（ 响应）审查程序：</w:t>
            </w:r>
            <w:r/>
          </w:p>
          <w:p>
            <w:pPr>
              <w:ind w:left="0" w:right="0" w:firstLine="0"/>
              <w:spacing w:before="0" w:after="0" w:line="240" w:lineRule="auto"/>
              <w:rPr>
                <w:rFonts w:hint="eastAsia" w:ascii="宋体" w:hAnsi="宋体" w:eastAsia="宋体" w:cs="宋体"/>
                <w:color w:val="000000"/>
                <w:sz w:val="24"/>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none"/>
              </w:rPr>
              <w:t xml:space="preserve">① 投标（响应）报价低于采购项目预算50%的，即投标（响应）报价&lt;采购项目预算×50%；</w:t>
            </w:r>
            <w:r/>
          </w:p>
          <w:p>
            <w:pPr>
              <w:ind w:left="0" w:right="0" w:firstLine="0"/>
              <w:spacing w:before="0" w:after="0" w:line="240" w:lineRule="auto"/>
              <w:rPr>
                <w:rFonts w:hint="eastAsia" w:ascii="宋体" w:hAnsi="宋体" w:eastAsia="宋体" w:cs="宋体"/>
                <w:color w:val="000000"/>
                <w:sz w:val="24"/>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none"/>
              </w:rPr>
              <w:t xml:space="preserve">② 投标（响应）报价低于采购项目最高限价45% 的，即投标（响应）报价&lt;采购项目最高限价×45%；</w:t>
            </w:r>
            <w:r/>
          </w:p>
          <w:p>
            <w:pPr>
              <w:ind w:left="0" w:right="0" w:firstLine="0"/>
              <w:spacing w:before="0" w:after="0" w:line="240" w:lineRule="auto"/>
              <w:rPr>
                <w:rFonts w:hint="eastAsia" w:ascii="宋体" w:hAnsi="宋体" w:eastAsia="宋体" w:cs="宋体"/>
                <w:color w:val="000000"/>
                <w:sz w:val="24"/>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none"/>
              </w:rPr>
              <w:t xml:space="preserve">③ 评审委员会认定的供应商报价过低、有可能影响产品质量或者不能诚信履约的其他情形。</w:t>
            </w:r>
            <w:r/>
          </w:p>
          <w:p>
            <w:pPr>
              <w:jc w:val="left"/>
              <w:rPr>
                <w:rFonts w:hint="eastAsia"/>
                <w:sz w:val="24"/>
              </w:rPr>
            </w:pPr>
            <w:r>
              <w:rPr>
                <w:rFonts w:hint="eastAsia" w:ascii="宋体" w:hAnsi="宋体" w:eastAsia="宋体" w:cs="宋体"/>
                <w:color w:val="000000"/>
                <w:sz w:val="24"/>
                <w:u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tc>
      </w:tr>
    </w:tbl>
    <w:p>
      <w:pPr>
        <w:jc w:val="both"/>
        <w:spacing w:line="360" w:lineRule="auto"/>
        <w:tabs>
          <w:tab w:val="left" w:pos="5580" w:leader="none"/>
        </w:tabs>
        <w:rPr>
          <w:sz w:val="24"/>
        </w:rPr>
        <w:sectPr>
          <w:footerReference w:type="default" r:id="rId17"/>
          <w:footerReference w:type="first" r:id="rId18"/>
          <w:footnotePr/>
          <w:endnotePr/>
          <w:type w:val="nextPage"/>
          <w:pgSz w:w="11907" w:h="16840" w:orient="portrait"/>
          <w:pgMar w:top="1440" w:right="1287" w:bottom="1440" w:left="1800" w:header="851" w:footer="851" w:gutter="0"/>
          <w:pgNumType w:start="3"/>
          <w:cols w:num="1" w:sep="0" w:space="1701" w:equalWidth="1"/>
          <w:docGrid w:linePitch="360"/>
          <w:titlePg/>
        </w:sectPr>
      </w:pPr>
      <w:r>
        <w:rPr>
          <w:sz w:val="24"/>
        </w:rPr>
      </w:r>
      <w:r/>
    </w:p>
    <w:p>
      <w:pPr>
        <w:jc w:val="center"/>
        <w:spacing w:before="240" w:after="240"/>
        <w:rPr>
          <w:b/>
          <w:sz w:val="28"/>
          <w:szCs w:val="28"/>
        </w:rPr>
      </w:pPr>
      <w:r>
        <w:rPr>
          <w:b/>
          <w:sz w:val="28"/>
          <w:szCs w:val="28"/>
        </w:rPr>
        <w:t xml:space="preserve">供应商须知</w:t>
      </w:r>
      <w:r/>
    </w:p>
    <w:p>
      <w:pPr>
        <w:pStyle w:val="1033"/>
        <w:jc w:val="left"/>
        <w:spacing w:before="0" w:line="360" w:lineRule="auto"/>
        <w:tabs>
          <w:tab w:val="center" w:pos="4592" w:leader="none"/>
          <w:tab w:val="left" w:pos="7860" w:leader="none"/>
        </w:tabs>
        <w:rPr>
          <w:rFonts w:ascii="Times New Roman" w:hAnsi="Times New Roman" w:eastAsia="宋体"/>
          <w:sz w:val="28"/>
        </w:rPr>
      </w:pPr>
      <w:r/>
      <w:bookmarkStart w:id="72" w:name="_Toc127151518"/>
      <w:r/>
      <w:bookmarkStart w:id="73" w:name="_Toc520356143"/>
      <w:r>
        <w:rPr>
          <w:rFonts w:ascii="Times New Roman" w:hAnsi="Times New Roman" w:eastAsia="宋体"/>
          <w:sz w:val="28"/>
        </w:rPr>
        <w:tab/>
      </w:r>
      <w:bookmarkStart w:id="74" w:name="_Toc151193616"/>
      <w:r/>
      <w:bookmarkStart w:id="75" w:name="_Toc265228356"/>
      <w:r/>
      <w:bookmarkStart w:id="76" w:name="_Toc195842883"/>
      <w:r/>
      <w:bookmarkStart w:id="77" w:name="_Toc151193688"/>
      <w:r/>
      <w:bookmarkStart w:id="78" w:name="_Toc151190145"/>
      <w:r/>
      <w:bookmarkStart w:id="79" w:name="_Toc305158860"/>
      <w:r/>
      <w:bookmarkStart w:id="80" w:name="_Toc264969208"/>
      <w:r/>
      <w:bookmarkStart w:id="81" w:name="_Toc151193832"/>
      <w:r/>
      <w:bookmarkStart w:id="82" w:name="_Toc305158786"/>
      <w:r/>
      <w:bookmarkStart w:id="83" w:name="_Toc150774618"/>
      <w:r/>
      <w:bookmarkStart w:id="84" w:name="_Toc150480756"/>
      <w:r/>
      <w:bookmarkStart w:id="85" w:name="_Toc226337214"/>
      <w:r/>
      <w:bookmarkStart w:id="86" w:name="_Toc150774723"/>
      <w:r/>
      <w:bookmarkStart w:id="87" w:name="_Toc226965708"/>
      <w:r/>
      <w:bookmarkStart w:id="88" w:name="_Toc151193760"/>
      <w:r/>
      <w:bookmarkStart w:id="89" w:name="_Toc142311020"/>
      <w:r/>
      <w:bookmarkStart w:id="90" w:name="_Toc151193906"/>
      <w:r/>
      <w:bookmarkStart w:id="91" w:name="_Toc150509269"/>
      <w:r/>
      <w:bookmarkStart w:id="92" w:name="_Toc226309762"/>
      <w:r/>
      <w:bookmarkStart w:id="93" w:name="_Toc226965791"/>
      <w:r>
        <w:rPr>
          <w:rFonts w:ascii="Times New Roman" w:hAnsi="Times New Roman" w:eastAsia="宋体"/>
          <w:sz w:val="28"/>
        </w:rPr>
        <w:t xml:space="preserve">一   说  明</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ascii="Times New Roman" w:hAnsi="Times New Roman" w:eastAsia="宋体"/>
          <w:sz w:val="28"/>
        </w:rPr>
        <w:tab/>
      </w:r>
      <w:r/>
    </w:p>
    <w:p>
      <w:pPr>
        <w:numPr>
          <w:ilvl w:val="0"/>
          <w:numId w:val="8"/>
        </w:numPr>
        <w:ind w:left="357" w:hanging="357"/>
        <w:spacing w:line="360" w:lineRule="auto"/>
        <w:tabs>
          <w:tab w:val="left" w:pos="360" w:leader="none"/>
        </w:tabs>
        <w:rPr>
          <w:sz w:val="24"/>
        </w:rPr>
        <w:outlineLvl w:val="1"/>
      </w:pPr>
      <w:r/>
      <w:bookmarkStart w:id="94" w:name="_Toc265228357"/>
      <w:r/>
      <w:bookmarkStart w:id="95" w:name="_Toc305158787"/>
      <w:r/>
      <w:bookmarkStart w:id="96" w:name="_Toc264969209"/>
      <w:r/>
      <w:bookmarkStart w:id="97" w:name="_Toc305158861"/>
      <w:r>
        <w:rPr>
          <w:sz w:val="24"/>
        </w:rPr>
        <w:t xml:space="preserve">采购人、采购代理机构、供应商</w:t>
      </w:r>
      <w:bookmarkEnd w:id="94"/>
      <w:r/>
      <w:bookmarkEnd w:id="95"/>
      <w:r/>
      <w:bookmarkEnd w:id="96"/>
      <w:r/>
      <w:bookmarkEnd w:id="97"/>
      <w:r>
        <w:rPr>
          <w:sz w:val="24"/>
        </w:rPr>
        <w:t xml:space="preserve">、联合体</w:t>
      </w:r>
      <w:r/>
    </w:p>
    <w:p>
      <w:pPr>
        <w:numPr>
          <w:ilvl w:val="1"/>
          <w:numId w:val="8"/>
        </w:numPr>
        <w:ind w:left="1080" w:hanging="720"/>
        <w:spacing w:line="360" w:lineRule="auto"/>
        <w:tabs>
          <w:tab w:val="left" w:pos="1080"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采购人、采购代理机构：指依法进行政府采购的国家机关、事业单位、团体组织，及其委托的采购代理机构。本项目采购人、采购代理机构见第一章《采购邀请》。</w:t>
      </w:r>
      <w:r/>
    </w:p>
    <w:p>
      <w:pPr>
        <w:numPr>
          <w:ilvl w:val="1"/>
          <w:numId w:val="8"/>
        </w:numPr>
        <w:ind w:left="1080" w:hanging="720"/>
        <w:spacing w:line="360" w:lineRule="auto"/>
        <w:tabs>
          <w:tab w:val="left" w:pos="1080" w:leader="none"/>
          <w:tab w:val="left" w:pos="2014" w:leader="none"/>
          <w:tab w:val="left" w:pos="5521" w:leader="none"/>
        </w:tabs>
        <w:rPr>
          <w:sz w:val="24"/>
        </w:rPr>
      </w:pPr>
      <w:r>
        <w:rPr>
          <w:sz w:val="24"/>
        </w:rPr>
        <w:t xml:space="preserve">供应商（也称“申请人”）：指向采购人提供货物、工程或者服务的法人、其他组织或者自然人。</w:t>
      </w:r>
      <w:r/>
    </w:p>
    <w:p>
      <w:pPr>
        <w:numPr>
          <w:ilvl w:val="1"/>
          <w:numId w:val="8"/>
        </w:numPr>
        <w:ind w:left="1080" w:hanging="720"/>
        <w:spacing w:line="360" w:lineRule="auto"/>
        <w:tabs>
          <w:tab w:val="left" w:pos="1080" w:leader="none"/>
          <w:tab w:val="left" w:pos="2014" w:leader="none"/>
          <w:tab w:val="left" w:pos="5521" w:leader="none"/>
        </w:tabs>
        <w:rPr>
          <w:sz w:val="24"/>
        </w:rPr>
      </w:pPr>
      <w:r>
        <w:rPr>
          <w:sz w:val="24"/>
        </w:rPr>
        <w:t xml:space="preserve">联合体：指两个以上的自然人、法人或者其他组织组成一个联合体，以一个供应商的身份共同参加政府采购。</w:t>
      </w:r>
      <w:r/>
    </w:p>
    <w:p>
      <w:pPr>
        <w:numPr>
          <w:ilvl w:val="0"/>
          <w:numId w:val="8"/>
        </w:numPr>
        <w:ind w:left="357" w:hanging="357"/>
        <w:spacing w:line="360" w:lineRule="auto"/>
        <w:tabs>
          <w:tab w:val="left" w:pos="360" w:leader="none"/>
        </w:tabs>
        <w:rPr>
          <w:sz w:val="24"/>
        </w:rPr>
        <w:outlineLvl w:val="1"/>
      </w:pPr>
      <w:r/>
      <w:bookmarkStart w:id="98" w:name="_Toc164608789"/>
      <w:r/>
      <w:bookmarkStart w:id="99" w:name="_Toc164608634"/>
      <w:r/>
      <w:bookmarkStart w:id="100" w:name="_Toc195842885"/>
      <w:r/>
      <w:bookmarkStart w:id="101" w:name="_Toc265228358"/>
      <w:r/>
      <w:bookmarkStart w:id="102" w:name="_Toc226337216"/>
      <w:r/>
      <w:bookmarkStart w:id="103" w:name="_Toc164351614"/>
      <w:r/>
      <w:bookmarkStart w:id="104" w:name="_Toc305158862"/>
      <w:r/>
      <w:bookmarkStart w:id="105" w:name="_Toc150509271"/>
      <w:r/>
      <w:bookmarkStart w:id="106" w:name="_Toc149720813"/>
      <w:r/>
      <w:bookmarkStart w:id="107" w:name="_Toc150774725"/>
      <w:r/>
      <w:bookmarkStart w:id="108" w:name="_Toc151193762"/>
      <w:r/>
      <w:bookmarkStart w:id="109" w:name="_Toc164229361"/>
      <w:r/>
      <w:bookmarkStart w:id="110" w:name="_Toc151190147"/>
      <w:r/>
      <w:bookmarkStart w:id="111" w:name="_Toc226965793"/>
      <w:r/>
      <w:bookmarkStart w:id="112" w:name="_Toc226965710"/>
      <w:r/>
      <w:bookmarkStart w:id="113" w:name="_Toc142311022"/>
      <w:r/>
      <w:bookmarkStart w:id="114" w:name="_Toc127161434"/>
      <w:r/>
      <w:bookmarkStart w:id="115" w:name="_Toc305158788"/>
      <w:r/>
      <w:bookmarkStart w:id="116" w:name="_Toc150774620"/>
      <w:r/>
      <w:bookmarkStart w:id="117" w:name="_Toc151193690"/>
      <w:r/>
      <w:bookmarkStart w:id="118" w:name="_Toc164229215"/>
      <w:r/>
      <w:bookmarkStart w:id="119" w:name="_Toc226309764"/>
      <w:r/>
      <w:bookmarkStart w:id="120" w:name="_Toc151193618"/>
      <w:r/>
      <w:bookmarkStart w:id="121" w:name="_Toc127151721"/>
      <w:r/>
      <w:bookmarkStart w:id="122" w:name="_Toc151193908"/>
      <w:r/>
      <w:bookmarkStart w:id="123" w:name="_Toc150480758"/>
      <w:r/>
      <w:bookmarkStart w:id="124" w:name="_Toc264969210"/>
      <w:r/>
      <w:bookmarkStart w:id="125" w:name="_Toc127151520"/>
      <w:r/>
      <w:bookmarkStart w:id="126" w:name="_Toc151193834"/>
      <w:r>
        <w:rPr>
          <w:sz w:val="24"/>
        </w:rPr>
        <w:t xml:space="preserve">资金来源</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rPr>
          <w:sz w:val="24"/>
        </w:rPr>
        <w:t xml:space="preserve">、项目属性、科研仪器设备采购</w:t>
      </w:r>
      <w:r/>
    </w:p>
    <w:p>
      <w:pPr>
        <w:numPr>
          <w:ilvl w:val="1"/>
          <w:numId w:val="8"/>
        </w:numPr>
        <w:ind w:left="1080" w:hanging="720"/>
        <w:spacing w:line="360" w:lineRule="auto"/>
        <w:tabs>
          <w:tab w:val="left" w:pos="1080" w:leader="none"/>
          <w:tab w:val="left" w:pos="2014" w:leader="none"/>
        </w:tabs>
        <w:rPr>
          <w:sz w:val="24"/>
        </w:rPr>
      </w:pPr>
      <w:r>
        <w:rPr>
          <w:sz w:val="24"/>
        </w:rPr>
        <w:t xml:space="preserve">资金来源为财政性资金和/或本项目采购中无法与财政性资金分割的非财政性资金。</w:t>
      </w:r>
      <w:r/>
    </w:p>
    <w:p>
      <w:pPr>
        <w:numPr>
          <w:ilvl w:val="1"/>
          <w:numId w:val="8"/>
        </w:numPr>
        <w:ind w:left="1080" w:hanging="720"/>
        <w:spacing w:line="360" w:lineRule="auto"/>
        <w:tabs>
          <w:tab w:val="left" w:pos="1080" w:leader="none"/>
          <w:tab w:val="left" w:pos="2014" w:leader="none"/>
        </w:tabs>
        <w:rPr>
          <w:sz w:val="24"/>
        </w:rPr>
      </w:pPr>
      <w:r>
        <w:rPr>
          <w:sz w:val="24"/>
        </w:rPr>
        <w:t xml:space="preserve">项目属性见《供应商须知资料表》。</w:t>
      </w:r>
      <w:r/>
    </w:p>
    <w:p>
      <w:pPr>
        <w:numPr>
          <w:ilvl w:val="1"/>
          <w:numId w:val="8"/>
        </w:numPr>
        <w:ind w:left="1080" w:hanging="720"/>
        <w:spacing w:line="360" w:lineRule="auto"/>
        <w:tabs>
          <w:tab w:val="left" w:pos="1080" w:leader="none"/>
          <w:tab w:val="left" w:pos="2014" w:leader="none"/>
        </w:tabs>
        <w:rPr>
          <w:sz w:val="24"/>
        </w:rPr>
      </w:pPr>
      <w:r>
        <w:rPr>
          <w:sz w:val="24"/>
        </w:rPr>
        <w:t xml:space="preserve">是否属于科研仪器设备采购见《供应商须知资料表》。</w:t>
      </w:r>
      <w:r/>
    </w:p>
    <w:p>
      <w:pPr>
        <w:numPr>
          <w:ilvl w:val="0"/>
          <w:numId w:val="8"/>
        </w:numPr>
        <w:ind w:left="357" w:hanging="357"/>
        <w:spacing w:line="360" w:lineRule="auto"/>
        <w:tabs>
          <w:tab w:val="left" w:pos="360" w:leader="none"/>
        </w:tabs>
        <w:rPr>
          <w:sz w:val="24"/>
        </w:rPr>
        <w:outlineLvl w:val="1"/>
      </w:pPr>
      <w:r>
        <w:rPr>
          <w:sz w:val="24"/>
        </w:rPr>
        <w:t xml:space="preserve">现场考察、磋商前答疑会</w:t>
      </w:r>
      <w:r/>
    </w:p>
    <w:p>
      <w:pPr>
        <w:numPr>
          <w:ilvl w:val="1"/>
          <w:numId w:val="8"/>
        </w:numPr>
        <w:ind w:left="1080" w:hanging="720"/>
        <w:spacing w:line="360" w:lineRule="auto"/>
        <w:tabs>
          <w:tab w:val="left" w:pos="1080" w:leader="none"/>
          <w:tab w:val="left" w:pos="2014" w:leader="none"/>
        </w:tabs>
        <w:rPr>
          <w:sz w:val="28"/>
        </w:rPr>
      </w:pPr>
      <w:r>
        <w:rPr>
          <w:sz w:val="24"/>
        </w:rPr>
        <w:t xml:space="preserve">若《供应商须知资料表》中规定了组织现场考察、召开磋商前答疑会，则供应商应按要求在规定的时间和地点参加。</w:t>
      </w:r>
      <w:bookmarkStart w:id="127" w:name="_Toc151190149"/>
      <w:r/>
      <w:bookmarkStart w:id="128" w:name="_Toc264969212"/>
      <w:r/>
      <w:bookmarkStart w:id="129" w:name="_Toc150774727"/>
      <w:r/>
      <w:bookmarkStart w:id="130" w:name="_Toc195842887"/>
      <w:r/>
      <w:bookmarkStart w:id="131" w:name="_Toc150509273"/>
      <w:r/>
      <w:bookmarkStart w:id="132" w:name="_Toc151193620"/>
      <w:r/>
      <w:bookmarkStart w:id="133" w:name="_Toc127151522"/>
      <w:r/>
      <w:bookmarkStart w:id="134" w:name="_Toc226337218"/>
      <w:r/>
      <w:bookmarkStart w:id="135" w:name="_Toc226965712"/>
      <w:r/>
      <w:bookmarkStart w:id="136" w:name="_Toc150774622"/>
      <w:r/>
      <w:bookmarkStart w:id="137" w:name="_Toc151193692"/>
      <w:r/>
      <w:bookmarkStart w:id="138" w:name="_Toc305158790"/>
      <w:r/>
      <w:bookmarkStart w:id="139" w:name="_Toc265228360"/>
      <w:r/>
      <w:bookmarkStart w:id="140" w:name="_Toc305158864"/>
      <w:r/>
      <w:bookmarkStart w:id="141" w:name="_Toc151193910"/>
      <w:r/>
      <w:bookmarkStart w:id="142" w:name="_Toc142311024"/>
      <w:r/>
      <w:bookmarkStart w:id="143" w:name="_Toc151193764"/>
      <w:r/>
      <w:bookmarkStart w:id="144" w:name="_Toc150480760"/>
      <w:r/>
      <w:bookmarkStart w:id="145" w:name="_Toc151193836"/>
      <w:r/>
      <w:bookmarkStart w:id="146" w:name="_Toc226965795"/>
      <w:r/>
      <w:bookmarkStart w:id="147" w:name="_Toc520356146"/>
      <w:r/>
      <w:bookmarkStart w:id="148" w:name="_Toc226309766"/>
      <w:r/>
      <w:r/>
    </w:p>
    <w:p>
      <w:pPr>
        <w:numPr>
          <w:ilvl w:val="1"/>
          <w:numId w:val="8"/>
        </w:numPr>
        <w:ind w:left="1080" w:hanging="720"/>
        <w:spacing w:line="360" w:lineRule="auto"/>
        <w:tabs>
          <w:tab w:val="left" w:pos="1080" w:leader="none"/>
          <w:tab w:val="left" w:pos="2014" w:leader="none"/>
        </w:tabs>
        <w:rPr>
          <w:sz w:val="24"/>
        </w:rPr>
      </w:pPr>
      <w:r>
        <w:rPr>
          <w:sz w:val="24"/>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8"/>
        </w:numPr>
        <w:ind w:left="357" w:hanging="357"/>
        <w:spacing w:line="360" w:lineRule="auto"/>
        <w:tabs>
          <w:tab w:val="left" w:pos="360" w:leader="none"/>
        </w:tabs>
        <w:rPr>
          <w:sz w:val="24"/>
        </w:rPr>
        <w:outlineLvl w:val="1"/>
      </w:pPr>
      <w:r>
        <w:rPr>
          <w:sz w:val="24"/>
        </w:rPr>
        <w:t xml:space="preserve">政府采购政策（包括但不限于下列具体政策要求）</w:t>
      </w:r>
      <w:r/>
    </w:p>
    <w:p>
      <w:pPr>
        <w:numPr>
          <w:ilvl w:val="1"/>
          <w:numId w:val="8"/>
        </w:numPr>
        <w:ind w:left="1080" w:hanging="720"/>
        <w:spacing w:line="360" w:lineRule="auto"/>
        <w:tabs>
          <w:tab w:val="left" w:pos="1080" w:leader="none"/>
          <w:tab w:val="left" w:pos="2014" w:leader="none"/>
        </w:tabs>
        <w:rPr>
          <w:sz w:val="24"/>
        </w:rPr>
      </w:pPr>
      <w:r>
        <w:rPr>
          <w:sz w:val="24"/>
        </w:rPr>
        <w:t xml:space="preserve">进口产品</w:t>
      </w:r>
      <w:r/>
    </w:p>
    <w:p>
      <w:pPr>
        <w:numPr>
          <w:ilvl w:val="2"/>
          <w:numId w:val="8"/>
        </w:numPr>
        <w:spacing w:line="360" w:lineRule="auto"/>
        <w:tabs>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1080" w:hanging="720"/>
        <w:spacing w:line="360" w:lineRule="auto"/>
        <w:tabs>
          <w:tab w:val="left" w:pos="1080" w:leader="none"/>
          <w:tab w:val="left" w:pos="2014" w:leader="none"/>
        </w:tabs>
        <w:rPr>
          <w:sz w:val="24"/>
        </w:rPr>
      </w:pPr>
      <w:r>
        <w:rPr>
          <w:sz w:val="24"/>
        </w:rPr>
        <w:t xml:space="preserve">中小企业、监狱企业及残疾人福利性单位</w:t>
      </w:r>
      <w:r/>
    </w:p>
    <w:p>
      <w:pPr>
        <w:numPr>
          <w:ilvl w:val="2"/>
          <w:numId w:val="8"/>
        </w:numPr>
        <w:spacing w:line="360" w:lineRule="auto"/>
        <w:rPr>
          <w:sz w:val="24"/>
        </w:rPr>
      </w:pPr>
      <w:r>
        <w:rPr>
          <w:sz w:val="24"/>
        </w:rPr>
        <w:t xml:space="preserve">中小企业定义：</w:t>
      </w:r>
      <w:r/>
    </w:p>
    <w:p>
      <w:pPr>
        <w:numPr>
          <w:ilvl w:val="0"/>
          <w:numId w:val="0"/>
        </w:numPr>
        <w:ind w:left="1985"/>
        <w:spacing w:line="360" w:lineRule="auto"/>
        <w:tabs>
          <w:tab w:val="left" w:pos="1980" w:leader="none"/>
          <w:tab w:val="left" w:pos="2035" w:leader="none"/>
          <w:tab w:val="left" w:pos="2885" w:leader="none"/>
          <w:tab w:val="left" w:pos="2977" w:leader="none"/>
        </w:tabs>
        <w:rPr>
          <w:color w:val="000000"/>
          <w:sz w:val="24"/>
        </w:rPr>
      </w:pPr>
      <w:r>
        <w:rPr>
          <w:rFonts w:hint="eastAsia"/>
          <w:color w:val="000000"/>
          <w:sz w:val="24"/>
          <w:lang w:val="en-US" w:eastAsia="zh-CN"/>
        </w:rPr>
        <w:t xml:space="preserve">4.2.1.1</w:t>
      </w:r>
      <w:r>
        <w:rPr>
          <w:color w:val="000000"/>
          <w:sz w:val="24"/>
        </w:rPr>
        <w:t xml:space="preserve">中小企业是</w:t>
      </w:r>
      <w:r>
        <w:rPr>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0"/>
          <w:numId w:val="0"/>
        </w:numPr>
        <w:ind w:left="1985"/>
        <w:spacing w:line="360" w:lineRule="auto"/>
        <w:tabs>
          <w:tab w:val="left" w:pos="1980" w:leader="none"/>
          <w:tab w:val="left" w:pos="2035" w:leader="none"/>
          <w:tab w:val="left" w:pos="2885" w:leader="none"/>
          <w:tab w:val="left" w:pos="2977" w:leader="none"/>
        </w:tabs>
        <w:rPr>
          <w:color w:val="000000"/>
          <w:sz w:val="24"/>
        </w:rPr>
      </w:pPr>
      <w:r>
        <w:rPr>
          <w:rFonts w:hint="eastAsia"/>
          <w:sz w:val="24"/>
          <w:lang w:val="en-US" w:eastAsia="zh-CN"/>
        </w:rPr>
        <w:t xml:space="preserve">4.2.1.2</w:t>
      </w:r>
      <w:r>
        <w:rPr>
          <w:sz w:val="24"/>
        </w:rPr>
        <w:t xml:space="preserve">供应商提供的货物、工程或者服务符合下列情形的，享受中小企业扶持政策：</w:t>
      </w:r>
      <w:r/>
    </w:p>
    <w:p>
      <w:pPr>
        <w:ind w:left="2835"/>
        <w:spacing w:line="360" w:lineRule="auto"/>
        <w:tabs>
          <w:tab w:val="left" w:pos="1980" w:leader="none"/>
        </w:tabs>
        <w:rPr>
          <w:color w:val="000000"/>
          <w:sz w:val="24"/>
        </w:rPr>
      </w:pPr>
      <w:r>
        <w:rPr>
          <w:color w:val="000000"/>
          <w:sz w:val="24"/>
        </w:rPr>
        <w:t xml:space="preserve">（1）在货物采购项目中，货物由中小企业制造，即货物由中小企业生产且使用该中小企业商号或者注册商标；</w:t>
      </w:r>
      <w:r/>
    </w:p>
    <w:p>
      <w:pPr>
        <w:ind w:left="2835"/>
        <w:spacing w:line="360" w:lineRule="auto"/>
        <w:tabs>
          <w:tab w:val="left" w:pos="1980" w:leader="none"/>
        </w:tabs>
        <w:rPr>
          <w:color w:val="000000"/>
          <w:sz w:val="24"/>
        </w:rPr>
      </w:pPr>
      <w:r>
        <w:rPr>
          <w:color w:val="000000"/>
          <w:sz w:val="24"/>
        </w:rPr>
        <w:t xml:space="preserve">（2）在工程采购项目中，工程由中小企业承建，即工程施工单位为中小企业；</w:t>
      </w:r>
      <w:r/>
    </w:p>
    <w:p>
      <w:pPr>
        <w:ind w:left="2835"/>
        <w:spacing w:line="360" w:lineRule="auto"/>
        <w:tabs>
          <w:tab w:val="left" w:pos="1980" w:leader="none"/>
        </w:tabs>
        <w:rPr>
          <w:color w:val="000000"/>
          <w:sz w:val="24"/>
        </w:rPr>
      </w:pPr>
      <w:r>
        <w:rPr>
          <w:color w:val="000000"/>
          <w:sz w:val="24"/>
        </w:rPr>
        <w:t xml:space="preserve">（3）在服务采购项目中，服务由中小企业承接，即提供服务的人员为中小企业依照《中华人民共和国劳动合同法》订立劳动合同的从业人员。</w:t>
      </w:r>
      <w:r/>
    </w:p>
    <w:p>
      <w:pPr>
        <w:numPr>
          <w:ilvl w:val="0"/>
          <w:numId w:val="0"/>
        </w:numPr>
        <w:ind w:left="1985"/>
        <w:spacing w:line="360" w:lineRule="auto"/>
        <w:tabs>
          <w:tab w:val="left" w:pos="1980" w:leader="none"/>
          <w:tab w:val="left" w:pos="2035" w:leader="none"/>
          <w:tab w:val="left" w:pos="2885" w:leader="none"/>
          <w:tab w:val="left" w:pos="2977" w:leader="none"/>
        </w:tabs>
        <w:rPr>
          <w:sz w:val="24"/>
        </w:rPr>
      </w:pPr>
      <w:r>
        <w:rPr>
          <w:rFonts w:hint="eastAsia"/>
          <w:sz w:val="24"/>
          <w:lang w:val="en-US" w:eastAsia="zh-CN"/>
        </w:rPr>
        <w:t xml:space="preserve">4.2.1.3</w:t>
      </w:r>
      <w:r>
        <w:rPr>
          <w:sz w:val="24"/>
        </w:rPr>
        <w:t xml:space="preserve">在货物采购项目中，供应商提供的货物既有中小企业制造货物，也有大型企业制造货物的，不享受中小企业扶持政策。</w:t>
      </w:r>
      <w:r/>
    </w:p>
    <w:p>
      <w:pPr>
        <w:numPr>
          <w:ilvl w:val="0"/>
          <w:numId w:val="0"/>
        </w:numPr>
        <w:ind w:left="1985"/>
        <w:spacing w:line="360" w:lineRule="auto"/>
        <w:tabs>
          <w:tab w:val="left" w:pos="1980" w:leader="none"/>
          <w:tab w:val="left" w:pos="2035" w:leader="none"/>
          <w:tab w:val="left" w:pos="2885" w:leader="none"/>
          <w:tab w:val="left" w:pos="2977" w:leader="none"/>
        </w:tabs>
        <w:rPr>
          <w:sz w:val="24"/>
        </w:rPr>
      </w:pPr>
      <w:r>
        <w:rPr>
          <w:rFonts w:hint="eastAsia"/>
          <w:color w:val="000000"/>
          <w:sz w:val="24"/>
          <w:lang w:val="en-US" w:eastAsia="zh-CN"/>
        </w:rPr>
        <w:t xml:space="preserve">4.2.1.4</w:t>
      </w:r>
      <w:r>
        <w:rPr>
          <w:color w:val="000000"/>
          <w:sz w:val="24"/>
        </w:rPr>
        <w:t xml:space="preserve">以联合体形式参加政府采购活动，联合体各方均为中小企业的，联合体视同中小企业。其中，联合体各方均为小微企业的，联合体视同小微企业。</w:t>
      </w:r>
      <w:r/>
    </w:p>
    <w:p>
      <w:pPr>
        <w:numPr>
          <w:ilvl w:val="2"/>
          <w:numId w:val="8"/>
        </w:numPr>
        <w:spacing w:line="360" w:lineRule="auto"/>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spacing w:line="360" w:lineRule="auto"/>
        <w:rPr>
          <w:sz w:val="24"/>
        </w:rPr>
      </w:pPr>
      <w:r>
        <w:rPr>
          <w:sz w:val="24"/>
        </w:rPr>
        <w:t xml:space="preserve">残疾人福利单位定义：享受政府采购支持政策的残疾人福利性单位应当同时满足以下条件：</w:t>
      </w:r>
      <w:r/>
    </w:p>
    <w:p>
      <w:pPr>
        <w:numPr>
          <w:ilvl w:val="0"/>
          <w:numId w:val="0"/>
        </w:numPr>
        <w:ind w:left="1985"/>
        <w:spacing w:line="360" w:lineRule="auto"/>
        <w:tabs>
          <w:tab w:val="left" w:pos="1980" w:leader="none"/>
          <w:tab w:val="left" w:pos="2035" w:leader="none"/>
          <w:tab w:val="left" w:pos="2885" w:leader="none"/>
          <w:tab w:val="left" w:pos="2977" w:leader="none"/>
        </w:tabs>
        <w:rPr>
          <w:color w:val="000000"/>
          <w:sz w:val="24"/>
        </w:rPr>
      </w:pPr>
      <w:r>
        <w:rPr>
          <w:rFonts w:hint="eastAsia"/>
          <w:color w:val="000000"/>
          <w:sz w:val="24"/>
          <w:lang w:val="en-US" w:eastAsia="zh-CN"/>
        </w:rPr>
        <w:t xml:space="preserve">4.2.3.1</w:t>
      </w:r>
      <w:r>
        <w:rPr>
          <w:color w:val="000000"/>
          <w:sz w:val="24"/>
        </w:rPr>
        <w:t xml:space="preserve">安置的残疾人占本单位在职职工人数的比例不低于25%（含25%），并且安置的残疾人人数不少于10 人（含10 人）；</w:t>
      </w:r>
      <w:r/>
    </w:p>
    <w:p>
      <w:pPr>
        <w:numPr>
          <w:ilvl w:val="0"/>
          <w:numId w:val="0"/>
        </w:numPr>
        <w:ind w:left="1985"/>
        <w:spacing w:line="360" w:lineRule="auto"/>
        <w:tabs>
          <w:tab w:val="left" w:pos="1980" w:leader="none"/>
          <w:tab w:val="left" w:pos="2035" w:leader="none"/>
          <w:tab w:val="left" w:pos="2885" w:leader="none"/>
          <w:tab w:val="left" w:pos="2977" w:leader="none"/>
        </w:tabs>
        <w:rPr>
          <w:color w:val="000000"/>
          <w:sz w:val="24"/>
        </w:rPr>
      </w:pPr>
      <w:r>
        <w:rPr>
          <w:rFonts w:hint="eastAsia"/>
          <w:sz w:val="24"/>
          <w:lang w:val="en-US" w:eastAsia="zh-CN"/>
        </w:rPr>
        <w:t xml:space="preserve">4.2.3.2</w:t>
      </w:r>
      <w:r>
        <w:rPr>
          <w:sz w:val="24"/>
        </w:rPr>
        <w:t xml:space="preserve">依法与安置的每位残疾人签订了一年以上（含一年）的劳动合同或服务协议；</w:t>
      </w:r>
      <w:r/>
    </w:p>
    <w:p>
      <w:pPr>
        <w:numPr>
          <w:ilvl w:val="0"/>
          <w:numId w:val="0"/>
        </w:numPr>
        <w:ind w:left="1985"/>
        <w:spacing w:line="360" w:lineRule="auto"/>
        <w:tabs>
          <w:tab w:val="left" w:pos="1980" w:leader="none"/>
          <w:tab w:val="left" w:pos="2035" w:leader="none"/>
          <w:tab w:val="left" w:pos="2885" w:leader="none"/>
          <w:tab w:val="left" w:pos="2977" w:leader="none"/>
        </w:tabs>
        <w:rPr>
          <w:color w:val="000000"/>
          <w:sz w:val="24"/>
        </w:rPr>
      </w:pPr>
      <w:r>
        <w:rPr>
          <w:rFonts w:hint="eastAsia"/>
          <w:sz w:val="24"/>
          <w:lang w:val="en-US" w:eastAsia="zh-CN"/>
        </w:rPr>
        <w:t xml:space="preserve">4.2.3.3</w:t>
      </w:r>
      <w:r>
        <w:rPr>
          <w:sz w:val="24"/>
        </w:rPr>
        <w:t xml:space="preserve">为安置的每位残疾人按月足额缴纳了基本养老保险、基本医疗保险、失业保险、工伤保险和生育保险等社会保险费；</w:t>
      </w:r>
      <w:r/>
    </w:p>
    <w:p>
      <w:pPr>
        <w:numPr>
          <w:ilvl w:val="0"/>
          <w:numId w:val="0"/>
        </w:numPr>
        <w:ind w:left="1985"/>
        <w:spacing w:line="360" w:lineRule="auto"/>
        <w:tabs>
          <w:tab w:val="left" w:pos="1980" w:leader="none"/>
          <w:tab w:val="left" w:pos="2035" w:leader="none"/>
          <w:tab w:val="left" w:pos="2885" w:leader="none"/>
          <w:tab w:val="left" w:pos="2977" w:leader="none"/>
        </w:tabs>
        <w:rPr>
          <w:color w:val="000000"/>
          <w:sz w:val="24"/>
        </w:rPr>
      </w:pPr>
      <w:r>
        <w:rPr>
          <w:rFonts w:hint="eastAsia"/>
          <w:sz w:val="24"/>
          <w:lang w:val="en-US" w:eastAsia="zh-CN"/>
        </w:rPr>
        <w:t xml:space="preserve">4.2.3.4</w:t>
      </w:r>
      <w:r>
        <w:rPr>
          <w:sz w:val="24"/>
        </w:rPr>
        <w:t xml:space="preserve">通过银行等金融机构向安置的每位残疾人，按月支付了不低于单位所在区县适用的经省级人民政府批准的月最低工资标准的工资；</w:t>
      </w:r>
      <w:r/>
    </w:p>
    <w:p>
      <w:pPr>
        <w:numPr>
          <w:ilvl w:val="0"/>
          <w:numId w:val="0"/>
        </w:numPr>
        <w:ind w:left="1985"/>
        <w:spacing w:line="360" w:lineRule="auto"/>
        <w:tabs>
          <w:tab w:val="left" w:pos="1980" w:leader="none"/>
          <w:tab w:val="left" w:pos="2035" w:leader="none"/>
          <w:tab w:val="left" w:pos="2885" w:leader="none"/>
          <w:tab w:val="left" w:pos="2977" w:leader="none"/>
        </w:tabs>
        <w:rPr>
          <w:color w:val="000000"/>
          <w:sz w:val="24"/>
        </w:rPr>
      </w:pPr>
      <w:r>
        <w:rPr>
          <w:rFonts w:hint="eastAsia"/>
          <w:sz w:val="24"/>
          <w:lang w:val="en-US" w:eastAsia="zh-CN"/>
        </w:rPr>
        <w:t xml:space="preserve">4.2.3.5</w:t>
      </w:r>
      <w:r>
        <w:rPr>
          <w:sz w:val="24"/>
        </w:rPr>
        <w:t xml:space="preserve">提供本单位制造的货物、承担的工程或者服务（以下简称产品），或者提供其他残疾人福利性单位制造的货物（不包括使用非残疾人福利性单位注册商标的货物）；</w:t>
      </w:r>
      <w:r/>
    </w:p>
    <w:p>
      <w:pPr>
        <w:numPr>
          <w:ilvl w:val="0"/>
          <w:numId w:val="0"/>
        </w:numPr>
        <w:ind w:left="1985"/>
        <w:spacing w:line="360" w:lineRule="auto"/>
        <w:tabs>
          <w:tab w:val="left" w:pos="1980" w:leader="none"/>
          <w:tab w:val="left" w:pos="2035" w:leader="none"/>
          <w:tab w:val="left" w:pos="2885" w:leader="none"/>
          <w:tab w:val="left" w:pos="2977" w:leader="none"/>
        </w:tabs>
        <w:rPr>
          <w:color w:val="000000"/>
          <w:sz w:val="24"/>
        </w:rPr>
      </w:pPr>
      <w:r>
        <w:rPr>
          <w:rFonts w:hint="eastAsia"/>
          <w:sz w:val="24"/>
          <w:lang w:val="en-US" w:eastAsia="zh-CN"/>
        </w:rPr>
        <w:t xml:space="preserve">4.2.3.6</w:t>
      </w: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spacing w:line="360" w:lineRule="auto"/>
        <w:rPr>
          <w:sz w:val="24"/>
        </w:rPr>
      </w:pPr>
      <w:r>
        <w:rPr>
          <w:sz w:val="24"/>
        </w:rPr>
        <w:t xml:space="preserve">本项目是否专门面向中小企业预留采购份额见第一章《采购邀请》。</w:t>
      </w:r>
      <w:r/>
    </w:p>
    <w:p>
      <w:pPr>
        <w:numPr>
          <w:ilvl w:val="2"/>
          <w:numId w:val="8"/>
        </w:numPr>
        <w:spacing w:line="360" w:lineRule="auto"/>
        <w:rPr>
          <w:sz w:val="24"/>
        </w:rPr>
      </w:pPr>
      <w:r>
        <w:rPr>
          <w:sz w:val="24"/>
        </w:rPr>
        <w:t xml:space="preserve">采购标的对应的中小企业划分标准所属行业见《供应商须知资料表》。</w:t>
      </w:r>
      <w:r/>
    </w:p>
    <w:p>
      <w:pPr>
        <w:numPr>
          <w:ilvl w:val="2"/>
          <w:numId w:val="8"/>
        </w:numPr>
        <w:spacing w:line="360" w:lineRule="auto"/>
        <w:rPr>
          <w:sz w:val="24"/>
        </w:rPr>
      </w:pPr>
      <w:r>
        <w:rPr>
          <w:sz w:val="24"/>
        </w:rPr>
        <w:t xml:space="preserve">小微企业价格评审优惠的政策调整：见第三章《评审方法和评审标准》。</w:t>
      </w:r>
      <w:r/>
    </w:p>
    <w:p>
      <w:pPr>
        <w:numPr>
          <w:ilvl w:val="1"/>
          <w:numId w:val="8"/>
        </w:numPr>
        <w:ind w:left="1080" w:hanging="720"/>
        <w:spacing w:line="360" w:lineRule="auto"/>
        <w:tabs>
          <w:tab w:val="left" w:pos="1080" w:leader="none"/>
          <w:tab w:val="left" w:pos="2014" w:leader="none"/>
        </w:tabs>
        <w:rPr>
          <w:sz w:val="24"/>
        </w:rPr>
      </w:pPr>
      <w:r>
        <w:rPr>
          <w:sz w:val="24"/>
        </w:rPr>
        <w:t xml:space="preserve">政府采购节能产品、环境标志产品</w:t>
      </w:r>
      <w:r/>
    </w:p>
    <w:p>
      <w:pPr>
        <w:numPr>
          <w:ilvl w:val="2"/>
          <w:numId w:val="8"/>
        </w:numPr>
        <w:spacing w:line="360" w:lineRule="auto"/>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spacing w:line="360" w:lineRule="auto"/>
        <w:rPr>
          <w:sz w:val="24"/>
        </w:rPr>
      </w:pPr>
      <w:r>
        <w:rPr>
          <w:sz w:val="24"/>
        </w:rPr>
        <w:t xml:space="preserve">如本项目采购产品属于实施政府强制采购品目清单范围的节能产品，则供应商所报产品必须获得国家确定的认证机构出具的、处于有效期之内的节能产品认证证书，否则</w:t>
      </w:r>
      <w:r>
        <w:rPr>
          <w:b/>
          <w:sz w:val="24"/>
        </w:rPr>
        <w:t xml:space="preserve">响应无效</w:t>
      </w:r>
      <w:r>
        <w:rPr>
          <w:sz w:val="24"/>
        </w:rPr>
        <w:t xml:space="preserve">；</w:t>
      </w:r>
      <w:r/>
    </w:p>
    <w:p>
      <w:pPr>
        <w:numPr>
          <w:ilvl w:val="2"/>
          <w:numId w:val="8"/>
        </w:numPr>
        <w:spacing w:line="360" w:lineRule="auto"/>
        <w:rPr>
          <w:rFonts w:hint="eastAsia"/>
          <w:sz w:val="24"/>
        </w:rPr>
      </w:pPr>
      <w:r>
        <w:rPr>
          <w:sz w:val="24"/>
        </w:rPr>
        <w:t xml:space="preserve">非政府强制采购的节能产品或环境标志产品，依据品目清单和认证证书实施政府优先采购。优先采购的具体规定见第三章《评审方法和评审标准》（如涉及）。</w:t>
      </w:r>
      <w:r/>
    </w:p>
    <w:p>
      <w:pPr>
        <w:numPr>
          <w:ilvl w:val="2"/>
          <w:numId w:val="8"/>
        </w:numPr>
        <w:spacing w:line="360" w:lineRule="auto"/>
        <w:tabs>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8"/>
        </w:numPr>
        <w:ind w:left="1080" w:hanging="720"/>
        <w:spacing w:line="360" w:lineRule="auto"/>
        <w:tabs>
          <w:tab w:val="left" w:pos="1080" w:leader="none"/>
          <w:tab w:val="left" w:pos="2014" w:leader="none"/>
        </w:tabs>
        <w:rPr>
          <w:sz w:val="24"/>
        </w:rPr>
      </w:pPr>
      <w:r>
        <w:rPr>
          <w:sz w:val="24"/>
        </w:rPr>
        <w:t xml:space="preserve">支持乡村产业振兴管理</w:t>
      </w:r>
      <w:r/>
    </w:p>
    <w:p>
      <w:pPr>
        <w:numPr>
          <w:ilvl w:val="2"/>
          <w:numId w:val="8"/>
        </w:numPr>
        <w:spacing w:line="360" w:lineRule="auto"/>
        <w:tabs>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为落实《关于运用政府采购政策支持乡村产业振兴的通知》（财库〔2021〕19号）有关要求，做好支持脱贫攻坚工作，本项目采购活动中对于支持乡村振兴管理的相关要求见第四章《采购需求》（如涉及）。</w:t>
      </w:r>
      <w:r/>
    </w:p>
    <w:p>
      <w:pPr>
        <w:numPr>
          <w:ilvl w:val="1"/>
          <w:numId w:val="8"/>
        </w:numPr>
        <w:ind w:left="1080" w:hanging="720"/>
        <w:spacing w:line="360" w:lineRule="auto"/>
        <w:tabs>
          <w:tab w:val="left" w:pos="1080" w:leader="none"/>
          <w:tab w:val="left" w:pos="2014" w:leader="none"/>
        </w:tabs>
        <w:rPr>
          <w:sz w:val="24"/>
        </w:rPr>
      </w:pPr>
      <w:r>
        <w:rPr>
          <w:sz w:val="24"/>
        </w:rPr>
        <w:t xml:space="preserve">正版软件</w:t>
      </w:r>
      <w:r/>
    </w:p>
    <w:p>
      <w:pPr>
        <w:numPr>
          <w:ilvl w:val="2"/>
          <w:numId w:val="8"/>
        </w:numPr>
        <w:spacing w:line="360" w:lineRule="auto"/>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b/>
          <w:sz w:val="24"/>
        </w:rPr>
        <w:t xml:space="preserve">响应无效</w:t>
      </w:r>
      <w:r>
        <w:rPr>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spacing w:line="360" w:lineRule="auto"/>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1080" w:hanging="720"/>
        <w:spacing w:line="360" w:lineRule="auto"/>
        <w:tabs>
          <w:tab w:val="left" w:pos="1080" w:leader="none"/>
          <w:tab w:val="left" w:pos="2014" w:leader="none"/>
        </w:tabs>
        <w:rPr>
          <w:rFonts w:hint="eastAsia"/>
          <w:sz w:val="24"/>
        </w:rPr>
      </w:pPr>
      <w:r>
        <w:rPr>
          <w:rFonts w:hint="eastAsia"/>
          <w:sz w:val="24"/>
        </w:rPr>
        <w:t xml:space="preserve">政府采购创新产品政策</w:t>
      </w:r>
      <w:r/>
    </w:p>
    <w:p>
      <w:pPr>
        <w:numPr>
          <w:ilvl w:val="2"/>
          <w:numId w:val="8"/>
        </w:numPr>
        <w:spacing w:line="360" w:lineRule="auto"/>
        <w:tabs>
          <w:tab w:val="left" w:pos="2014" w:leader="none"/>
        </w:tabs>
        <w:rPr>
          <w:rFonts w:hint="eastAsia"/>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360"/>
        <w:spacing w:line="480" w:lineRule="exact"/>
        <w:rPr>
          <w:sz w:val="24"/>
        </w:rPr>
      </w:pPr>
      <w:r>
        <w:rPr>
          <w:rFonts w:hint="eastAsia"/>
          <w:sz w:val="24"/>
        </w:rPr>
        <w:t xml:space="preserve">4.7 绿色采购政策</w:t>
      </w:r>
      <w:r/>
    </w:p>
    <w:p>
      <w:pPr>
        <w:ind w:left="900"/>
        <w:spacing w:line="480" w:lineRule="exact"/>
        <w:rPr>
          <w:rFonts w:ascii="宋体" w:hAnsi="宋体"/>
          <w:b/>
          <w:sz w:val="24"/>
        </w:rPr>
      </w:pPr>
      <w:r>
        <w:rPr>
          <w:rFonts w:hint="eastAsia"/>
          <w:sz w:val="24"/>
        </w:rPr>
        <w:t xml:space="preserve">4.7.1  </w:t>
      </w:r>
      <w:r>
        <w:rPr>
          <w:rFonts w:hint="eastAsia" w:ascii="宋体" w:hAnsi="宋体"/>
          <w:b/>
          <w:sz w:val="24"/>
        </w:rPr>
        <w:t xml:space="preserve">绿色数据中心政策 </w:t>
      </w:r>
      <w:r/>
    </w:p>
    <w:p>
      <w:pPr>
        <w:ind w:left="900"/>
        <w:spacing w:line="480" w:lineRule="exact"/>
        <w:rPr>
          <w:rFonts w:ascii="宋体" w:hAnsi="宋体"/>
          <w:sz w:val="24"/>
        </w:rPr>
      </w:pPr>
      <w:r>
        <w:rPr>
          <w:rFonts w:hint="eastAsia" w:ascii="宋体" w:hAnsi="宋体"/>
          <w:sz w:val="24"/>
        </w:rPr>
        <w:t xml:space="preserve">依据《绿色数据中心政府采购需求标准（试行）》（财办库〔2023〕7 号）文件精神，采购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900"/>
        <w:spacing w:line="480" w:lineRule="exact"/>
        <w:rPr>
          <w:rFonts w:ascii="宋体" w:hAnsi="宋体"/>
          <w:sz w:val="24"/>
        </w:rPr>
      </w:pPr>
      <w:r>
        <w:rPr>
          <w:rFonts w:hint="eastAsia" w:ascii="宋体" w:hAnsi="宋体"/>
          <w:sz w:val="24"/>
        </w:rPr>
        <w:t xml:space="preserve">4.7.2 推广应用绿色建材</w:t>
      </w:r>
      <w:r/>
    </w:p>
    <w:p>
      <w:pPr>
        <w:ind w:left="900"/>
        <w:spacing w:line="480" w:lineRule="exact"/>
        <w:rPr>
          <w:rFonts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号</w:t>
      </w:r>
      <w:r>
        <w:rPr>
          <w:rFonts w:hint="eastAsia" w:ascii="宋体" w:hAnsi="宋体"/>
          <w:sz w:val="24"/>
        </w:rPr>
        <w:t xml:space="preserve">）总体要求，落实《绿色建筑和绿色建材政府采购需求标准》（</w:t>
      </w:r>
      <w:r>
        <w:rPr>
          <w:sz w:val="24"/>
        </w:rPr>
        <w:t xml:space="preserve">财库〔20</w:t>
      </w:r>
      <w:r>
        <w:rPr>
          <w:rFonts w:hint="eastAsia"/>
          <w:sz w:val="24"/>
        </w:rPr>
        <w:t xml:space="preserve">22</w:t>
      </w:r>
      <w:r>
        <w:rPr>
          <w:sz w:val="24"/>
        </w:rPr>
        <w:t xml:space="preserve">〕</w:t>
      </w:r>
      <w:r>
        <w:rPr>
          <w:rFonts w:hint="eastAsia"/>
          <w:sz w:val="24"/>
        </w:rPr>
        <w:t xml:space="preserve">35</w:t>
      </w:r>
      <w:r>
        <w:rPr>
          <w:sz w:val="24"/>
        </w:rPr>
        <w:t xml:space="preserve"> 号</w:t>
      </w:r>
      <w:r>
        <w:rPr>
          <w:rFonts w:hint="eastAsia" w:ascii="宋体" w:hAnsi="宋体"/>
          <w:sz w:val="24"/>
        </w:rPr>
        <w:t xml:space="preserve">）和《政府采购支持绿色建材促进建筑品质提升政策项目实施指南》（财办库</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ind w:left="900"/>
        <w:spacing w:line="480" w:lineRule="exact"/>
        <w:rPr>
          <w:rFonts w:ascii="宋体" w:hAnsi="宋体"/>
          <w:sz w:val="24"/>
        </w:rPr>
      </w:pPr>
      <w:r>
        <w:rPr>
          <w:rFonts w:hint="eastAsia" w:ascii="宋体" w:hAnsi="宋体"/>
          <w:sz w:val="24"/>
        </w:rPr>
        <w:t xml:space="preserve"> 4.7.3 优先使用低挥发性有机化合物产品</w:t>
      </w:r>
      <w:r/>
    </w:p>
    <w:p>
      <w:pPr>
        <w:ind w:left="900"/>
        <w:spacing w:line="360" w:lineRule="auto"/>
        <w:tabs>
          <w:tab w:val="left" w:pos="2014" w:leader="none"/>
        </w:tabs>
        <w:rPr>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numPr>
          <w:ilvl w:val="0"/>
          <w:numId w:val="8"/>
        </w:numPr>
        <w:ind w:left="357" w:hanging="357"/>
        <w:spacing w:line="360" w:lineRule="auto"/>
        <w:tabs>
          <w:tab w:val="left" w:pos="360" w:leader="none"/>
        </w:tabs>
        <w:rPr>
          <w:sz w:val="24"/>
        </w:rPr>
        <w:outlineLvl w:val="1"/>
      </w:pPr>
      <w:r>
        <w:rPr>
          <w:sz w:val="24"/>
        </w:rPr>
        <w:t xml:space="preserve">响应费用</w:t>
      </w:r>
      <w:r/>
    </w:p>
    <w:p>
      <w:pPr>
        <w:numPr>
          <w:ilvl w:val="1"/>
          <w:numId w:val="8"/>
        </w:numPr>
        <w:ind w:left="1080" w:hanging="720"/>
        <w:spacing w:line="360" w:lineRule="auto"/>
        <w:tabs>
          <w:tab w:val="left" w:pos="1080" w:leader="none"/>
          <w:tab w:val="left" w:pos="2014" w:leader="none"/>
        </w:tabs>
        <w:rPr>
          <w:sz w:val="24"/>
        </w:rPr>
      </w:pPr>
      <w:r>
        <w:rPr>
          <w:sz w:val="24"/>
        </w:rPr>
        <w:t xml:space="preserve">供应商应自行承担所有与准备和参加磋商有关的费用，无论磋商的结果如何，采购人或采购代理机构在任何情况下均无承担这些费用的义务和责任。</w:t>
      </w:r>
      <w:r/>
    </w:p>
    <w:p>
      <w:pPr>
        <w:ind w:left="1080"/>
        <w:spacing w:line="360" w:lineRule="auto"/>
        <w:tabs>
          <w:tab w:val="left" w:pos="1080" w:leader="none"/>
        </w:tabs>
        <w:rPr>
          <w:sz w:val="28"/>
        </w:rPr>
      </w:pPr>
      <w:r/>
      <w:bookmarkStart w:id="149" w:name="_1.8_计量单位"/>
      <w:r/>
      <w:bookmarkEnd w:id="149"/>
      <w:r/>
      <w:r/>
    </w:p>
    <w:p>
      <w:pPr>
        <w:pStyle w:val="1033"/>
        <w:spacing w:before="0" w:line="360" w:lineRule="auto"/>
        <w:rPr>
          <w:rFonts w:ascii="Times New Roman" w:hAnsi="Times New Roman" w:eastAsia="宋体"/>
          <w:sz w:val="28"/>
        </w:rPr>
      </w:pPr>
      <w:r>
        <w:rPr>
          <w:rFonts w:ascii="Times New Roman" w:hAnsi="Times New Roman" w:eastAsia="宋体"/>
          <w:sz w:val="28"/>
        </w:rPr>
        <w:t xml:space="preserve">二   竞争性磋商文件</w:t>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
    </w:p>
    <w:p>
      <w:pPr>
        <w:numPr>
          <w:ilvl w:val="0"/>
          <w:numId w:val="8"/>
        </w:numPr>
        <w:ind w:left="357" w:hanging="357"/>
        <w:spacing w:line="360" w:lineRule="auto"/>
        <w:tabs>
          <w:tab w:val="left" w:pos="360" w:leader="none"/>
        </w:tabs>
        <w:rPr>
          <w:sz w:val="24"/>
        </w:rPr>
        <w:outlineLvl w:val="1"/>
      </w:pPr>
      <w:r/>
      <w:bookmarkStart w:id="150" w:name="_Toc305158791"/>
      <w:r/>
      <w:bookmarkStart w:id="151" w:name="_Toc149720816"/>
      <w:r/>
      <w:bookmarkStart w:id="152" w:name="_Toc127151724"/>
      <w:r/>
      <w:bookmarkStart w:id="153" w:name="_Toc127151523"/>
      <w:r/>
      <w:bookmarkStart w:id="154" w:name="_Toc195842888"/>
      <w:r/>
      <w:bookmarkStart w:id="155" w:name="_Toc226965796"/>
      <w:r/>
      <w:bookmarkStart w:id="156" w:name="_Toc151193621"/>
      <w:r/>
      <w:bookmarkStart w:id="157" w:name="_Toc226309767"/>
      <w:r/>
      <w:bookmarkStart w:id="158" w:name="_Toc164608792"/>
      <w:r/>
      <w:bookmarkStart w:id="159" w:name="_Toc127161437"/>
      <w:r/>
      <w:bookmarkStart w:id="160" w:name="_Toc150509274"/>
      <w:r/>
      <w:bookmarkStart w:id="161" w:name="_Toc305158865"/>
      <w:r/>
      <w:bookmarkStart w:id="162" w:name="_Toc150480761"/>
      <w:r/>
      <w:bookmarkStart w:id="163" w:name="_Toc226965713"/>
      <w:r/>
      <w:bookmarkStart w:id="164" w:name="_Toc142311025"/>
      <w:r/>
      <w:bookmarkStart w:id="165" w:name="_Toc150774728"/>
      <w:r/>
      <w:bookmarkStart w:id="166" w:name="_Toc164608637"/>
      <w:r/>
      <w:bookmarkStart w:id="167" w:name="_Toc151193837"/>
      <w:r/>
      <w:bookmarkStart w:id="168" w:name="_Toc164229218"/>
      <w:r/>
      <w:bookmarkStart w:id="169" w:name="_Toc151190150"/>
      <w:r/>
      <w:bookmarkStart w:id="170" w:name="_Toc151193765"/>
      <w:r/>
      <w:bookmarkStart w:id="171" w:name="_Toc264969213"/>
      <w:r/>
      <w:bookmarkStart w:id="172" w:name="_Toc164229364"/>
      <w:r/>
      <w:bookmarkStart w:id="173" w:name="_Toc520356147"/>
      <w:r/>
      <w:bookmarkStart w:id="174" w:name="_Toc150774623"/>
      <w:r/>
      <w:bookmarkStart w:id="175" w:name="_Toc164351617"/>
      <w:r/>
      <w:bookmarkStart w:id="176" w:name="_Toc226337219"/>
      <w:r/>
      <w:bookmarkStart w:id="177" w:name="_Toc151193693"/>
      <w:r/>
      <w:bookmarkStart w:id="178" w:name="_Toc151193911"/>
      <w:r/>
      <w:bookmarkStart w:id="179" w:name="_Toc265228361"/>
      <w:r>
        <w:rPr>
          <w:sz w:val="24"/>
        </w:rPr>
        <w:t xml:space="preserve">竞争性磋商文件构</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sz w:val="24"/>
        </w:rPr>
        <w:t xml:space="preserve">成</w:t>
      </w:r>
      <w:r/>
    </w:p>
    <w:p>
      <w:pPr>
        <w:numPr>
          <w:ilvl w:val="1"/>
          <w:numId w:val="8"/>
        </w:numPr>
        <w:ind w:left="1080" w:hanging="720"/>
        <w:spacing w:line="360" w:lineRule="auto"/>
        <w:tabs>
          <w:tab w:val="left" w:pos="1080" w:leader="none"/>
          <w:tab w:val="left" w:pos="2014" w:leader="none"/>
        </w:tabs>
        <w:rPr>
          <w:sz w:val="24"/>
        </w:rPr>
      </w:pPr>
      <w:r>
        <w:rPr>
          <w:sz w:val="24"/>
        </w:rPr>
        <w:t xml:space="preserve">竞争性磋商文件包括以下部分：</w:t>
      </w:r>
      <w:r/>
    </w:p>
    <w:p>
      <w:pPr>
        <w:numPr>
          <w:ilvl w:val="0"/>
          <w:numId w:val="10"/>
        </w:numPr>
        <w:ind w:left="1440" w:firstLine="5"/>
        <w:spacing w:line="360" w:lineRule="auto"/>
        <w:tabs>
          <w:tab w:val="left" w:pos="1980" w:leader="none"/>
          <w:tab w:val="left" w:pos="2520" w:leader="none"/>
        </w:tabs>
        <w:rPr>
          <w:sz w:val="24"/>
        </w:rPr>
      </w:pPr>
      <w:r>
        <w:rPr>
          <w:sz w:val="24"/>
        </w:rPr>
        <w:t xml:space="preserve">采购邀请</w:t>
      </w:r>
      <w:r/>
    </w:p>
    <w:p>
      <w:pPr>
        <w:numPr>
          <w:ilvl w:val="0"/>
          <w:numId w:val="10"/>
        </w:numPr>
        <w:ind w:left="1440" w:firstLine="5"/>
        <w:spacing w:line="360" w:lineRule="auto"/>
        <w:tabs>
          <w:tab w:val="left" w:pos="1980" w:leader="none"/>
          <w:tab w:val="left" w:pos="2520" w:leader="none"/>
        </w:tabs>
        <w:rPr>
          <w:sz w:val="24"/>
        </w:rPr>
      </w:pPr>
      <w:r>
        <w:rPr>
          <w:sz w:val="24"/>
        </w:rPr>
        <w:t xml:space="preserve">供应商须知</w:t>
      </w:r>
      <w:r/>
    </w:p>
    <w:p>
      <w:pPr>
        <w:numPr>
          <w:ilvl w:val="0"/>
          <w:numId w:val="10"/>
        </w:numPr>
        <w:ind w:left="1440" w:firstLine="5"/>
        <w:spacing w:line="360" w:lineRule="auto"/>
        <w:tabs>
          <w:tab w:val="left" w:pos="1980" w:leader="none"/>
          <w:tab w:val="left" w:pos="2520" w:leader="none"/>
        </w:tabs>
        <w:rPr>
          <w:sz w:val="24"/>
        </w:rPr>
      </w:pPr>
      <w:r>
        <w:rPr>
          <w:sz w:val="24"/>
        </w:rPr>
        <w:t xml:space="preserve">评审</w:t>
      </w:r>
      <w:r>
        <w:rPr>
          <w:rFonts w:hint="eastAsia"/>
          <w:sz w:val="24"/>
        </w:rPr>
        <w:t xml:space="preserve">程序、评审</w:t>
      </w:r>
      <w:r>
        <w:rPr>
          <w:sz w:val="24"/>
        </w:rPr>
        <w:t xml:space="preserve">方法和评审标准</w:t>
      </w:r>
      <w:r/>
    </w:p>
    <w:p>
      <w:pPr>
        <w:numPr>
          <w:ilvl w:val="0"/>
          <w:numId w:val="10"/>
        </w:numPr>
        <w:ind w:left="1440" w:firstLine="5"/>
        <w:spacing w:line="360" w:lineRule="auto"/>
        <w:tabs>
          <w:tab w:val="left" w:pos="1980" w:leader="none"/>
          <w:tab w:val="left" w:pos="2520" w:leader="none"/>
        </w:tabs>
        <w:rPr>
          <w:sz w:val="24"/>
        </w:rPr>
      </w:pPr>
      <w:r>
        <w:rPr>
          <w:sz w:val="24"/>
        </w:rPr>
        <w:t xml:space="preserve">采购需求</w:t>
      </w:r>
      <w:r/>
    </w:p>
    <w:p>
      <w:pPr>
        <w:numPr>
          <w:ilvl w:val="0"/>
          <w:numId w:val="10"/>
        </w:numPr>
        <w:ind w:left="1440" w:firstLine="5"/>
        <w:spacing w:line="360" w:lineRule="auto"/>
        <w:tabs>
          <w:tab w:val="left" w:pos="1980" w:leader="none"/>
          <w:tab w:val="left" w:pos="2520" w:leader="none"/>
        </w:tabs>
        <w:rPr>
          <w:sz w:val="24"/>
        </w:rPr>
      </w:pPr>
      <w:r>
        <w:rPr>
          <w:sz w:val="24"/>
        </w:rPr>
        <w:t xml:space="preserve">合同草案条款</w:t>
      </w:r>
      <w:r/>
    </w:p>
    <w:p>
      <w:pPr>
        <w:numPr>
          <w:ilvl w:val="0"/>
          <w:numId w:val="10"/>
        </w:numPr>
        <w:ind w:left="1440" w:firstLine="5"/>
        <w:spacing w:line="360" w:lineRule="auto"/>
        <w:tabs>
          <w:tab w:val="left" w:pos="1980" w:leader="none"/>
          <w:tab w:val="left" w:pos="2520" w:leader="none"/>
        </w:tabs>
        <w:rPr>
          <w:sz w:val="24"/>
        </w:rPr>
      </w:pPr>
      <w:r>
        <w:rPr>
          <w:sz w:val="24"/>
        </w:rPr>
        <w:t xml:space="preserve">响应文件格式</w:t>
      </w:r>
      <w:r/>
    </w:p>
    <w:p>
      <w:pPr>
        <w:numPr>
          <w:ilvl w:val="1"/>
          <w:numId w:val="8"/>
        </w:numPr>
        <w:ind w:left="1080" w:hanging="720"/>
        <w:spacing w:line="360" w:lineRule="auto"/>
        <w:tabs>
          <w:tab w:val="left" w:pos="1080" w:leader="none"/>
          <w:tab w:val="left" w:pos="2014" w:leader="none"/>
        </w:tabs>
        <w:rPr>
          <w:sz w:val="24"/>
        </w:rPr>
      </w:pPr>
      <w:r>
        <w:rPr>
          <w:sz w:val="24"/>
        </w:rPr>
        <w:t xml:space="preserve">供应商应认真阅读竞争性磋商文件的全部内容。供应商应按照竞争性磋商文件要求提交响应文件并保证所提供的全部资料的真实性，并对竞争性磋商文件做出实质性响应，否则</w:t>
      </w:r>
      <w:r>
        <w:rPr>
          <w:b/>
          <w:sz w:val="24"/>
        </w:rPr>
        <w:t xml:space="preserve">响应无效</w:t>
      </w:r>
      <w:r>
        <w:rPr>
          <w:sz w:val="24"/>
        </w:rPr>
        <w:t xml:space="preserve">。</w:t>
      </w:r>
      <w:r/>
    </w:p>
    <w:p>
      <w:pPr>
        <w:numPr>
          <w:ilvl w:val="0"/>
          <w:numId w:val="8"/>
        </w:numPr>
        <w:ind w:left="357" w:hanging="357"/>
        <w:spacing w:line="360" w:lineRule="auto"/>
        <w:tabs>
          <w:tab w:val="left" w:pos="1080" w:leader="none"/>
          <w:tab w:val="left" w:pos="2014" w:leader="none"/>
        </w:tabs>
        <w:rPr>
          <w:sz w:val="24"/>
        </w:rPr>
        <w:outlineLvl w:val="1"/>
      </w:pPr>
      <w:r>
        <w:rPr>
          <w:sz w:val="24"/>
        </w:rPr>
        <w:t xml:space="preserve">对竞争性磋商文件的澄清或修改</w:t>
      </w:r>
      <w:r/>
    </w:p>
    <w:p>
      <w:pPr>
        <w:numPr>
          <w:ilvl w:val="1"/>
          <w:numId w:val="8"/>
        </w:numPr>
        <w:ind w:left="1080" w:hanging="720"/>
        <w:spacing w:line="360" w:lineRule="auto"/>
        <w:tabs>
          <w:tab w:val="left" w:pos="1080" w:leader="none"/>
          <w:tab w:val="left" w:pos="1561" w:leader="none"/>
          <w:tab w:val="left" w:pos="2014" w:leader="none"/>
        </w:tabs>
        <w:rPr>
          <w:sz w:val="24"/>
        </w:rPr>
      </w:pPr>
      <w:r>
        <w:rPr>
          <w:sz w:val="24"/>
        </w:rPr>
        <w:t xml:space="preserve">采购人或采购代理机构对已发出的竞争性磋商文件进行必要澄清或者修改的，将在原公告发布媒体上以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w:t>
      </w:r>
      <w:r>
        <w:rPr>
          <w:rFonts w:hint="eastAsia"/>
          <w:sz w:val="24"/>
        </w:rPr>
        <w:t xml:space="preserve">磋商文件</w:t>
      </w:r>
      <w:r>
        <w:rPr>
          <w:sz w:val="24"/>
        </w:rPr>
        <w:t xml:space="preserve">的</w:t>
      </w:r>
      <w:r>
        <w:rPr>
          <w:rFonts w:hint="eastAsia"/>
          <w:sz w:val="24"/>
        </w:rPr>
        <w:t xml:space="preserve">供应商。</w:t>
      </w:r>
      <w:r/>
    </w:p>
    <w:p>
      <w:pPr>
        <w:numPr>
          <w:ilvl w:val="1"/>
          <w:numId w:val="8"/>
        </w:numPr>
        <w:ind w:left="1080" w:hanging="720"/>
        <w:spacing w:line="360" w:lineRule="auto"/>
        <w:tabs>
          <w:tab w:val="left" w:pos="1080" w:leader="none"/>
          <w:tab w:val="left" w:pos="1561" w:leader="none"/>
          <w:tab w:val="left" w:pos="2014" w:leader="none"/>
        </w:tabs>
        <w:rPr>
          <w:sz w:val="24"/>
        </w:rPr>
      </w:pPr>
      <w:r>
        <w:rPr>
          <w:sz w:val="24"/>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sz w:val="24"/>
        </w:rPr>
        <w:t xml:space="preserve">5</w:t>
      </w:r>
      <w:r>
        <w:rPr>
          <w:sz w:val="24"/>
        </w:rPr>
        <w:t xml:space="preserve">日前</w:t>
      </w:r>
      <w:r>
        <w:rPr>
          <w:rFonts w:hint="eastAsia"/>
          <w:sz w:val="24"/>
        </w:rPr>
        <w:t xml:space="preserve">，</w:t>
      </w:r>
      <w:r>
        <w:rPr>
          <w:sz w:val="24"/>
        </w:rPr>
        <w:t xml:space="preserve">以更正公告形式通知所有获取</w:t>
      </w:r>
      <w:r>
        <w:rPr>
          <w:rFonts w:hint="eastAsia"/>
          <w:sz w:val="24"/>
        </w:rPr>
        <w:t xml:space="preserve">磋商</w:t>
      </w:r>
      <w:r>
        <w:rPr>
          <w:sz w:val="24"/>
        </w:rPr>
        <w:t xml:space="preserve">文件的潜在供应商；；不足上述时间的，将顺延提交响应文件的截止时间。</w:t>
      </w:r>
      <w:r/>
    </w:p>
    <w:p>
      <w:pPr>
        <w:ind w:left="1080"/>
        <w:spacing w:line="360" w:lineRule="auto"/>
        <w:tabs>
          <w:tab w:val="left" w:pos="1080" w:leader="none"/>
          <w:tab w:val="left" w:pos="1561" w:leader="none"/>
        </w:tabs>
        <w:rPr>
          <w:sz w:val="28"/>
        </w:rPr>
      </w:pPr>
      <w:r/>
      <w:bookmarkStart w:id="180" w:name="_Toc516367020"/>
      <w:r/>
      <w:bookmarkStart w:id="181" w:name="_Toc195842891"/>
      <w:r/>
      <w:bookmarkStart w:id="182" w:name="_Toc142311028"/>
      <w:r/>
      <w:bookmarkStart w:id="183" w:name="_Toc127151526"/>
      <w:r/>
      <w:bookmarkStart w:id="184" w:name="_Toc520356150"/>
      <w:r/>
      <w:bookmarkStart w:id="185" w:name="_Toc226309770"/>
      <w:r/>
      <w:bookmarkStart w:id="186" w:name="_Toc151193624"/>
      <w:r/>
      <w:bookmarkStart w:id="187" w:name="_Toc150774731"/>
      <w:r/>
      <w:bookmarkStart w:id="188" w:name="_Toc151193914"/>
      <w:r/>
      <w:bookmarkStart w:id="189" w:name="_Toc151190153"/>
      <w:r/>
      <w:bookmarkStart w:id="190" w:name="_Toc226965716"/>
      <w:r/>
      <w:bookmarkStart w:id="191" w:name="_Toc265228364"/>
      <w:r/>
      <w:bookmarkStart w:id="192" w:name="_Toc305158794"/>
      <w:r/>
      <w:bookmarkStart w:id="193" w:name="_Toc151193768"/>
      <w:r/>
      <w:bookmarkStart w:id="194" w:name="_Toc151193840"/>
      <w:r/>
      <w:bookmarkStart w:id="195" w:name="_Toc150774626"/>
      <w:r/>
      <w:bookmarkStart w:id="196" w:name="_Toc150509277"/>
      <w:r/>
      <w:bookmarkStart w:id="197" w:name="_Toc226337222"/>
      <w:r/>
      <w:bookmarkStart w:id="198" w:name="_Toc305158868"/>
      <w:r/>
      <w:bookmarkStart w:id="199" w:name="_Toc151193696"/>
      <w:r/>
      <w:bookmarkStart w:id="200" w:name="_Toc150480764"/>
      <w:r/>
      <w:bookmarkStart w:id="201" w:name="_Toc226965799"/>
      <w:r/>
      <w:bookmarkStart w:id="202" w:name="_Toc264969216"/>
      <w:r/>
      <w:r/>
    </w:p>
    <w:p>
      <w:pPr>
        <w:pStyle w:val="1033"/>
        <w:spacing w:before="0" w:line="360" w:lineRule="auto"/>
        <w:rPr>
          <w:rFonts w:ascii="Times New Roman" w:hAnsi="Times New Roman" w:eastAsia="宋体"/>
          <w:sz w:val="28"/>
        </w:rPr>
      </w:pPr>
      <w:r>
        <w:rPr>
          <w:rFonts w:ascii="Times New Roman" w:hAnsi="Times New Roman" w:eastAsia="宋体"/>
          <w:sz w:val="28"/>
        </w:rPr>
        <w:t xml:space="preserve">三   响应文件</w:t>
      </w:r>
      <w:bookmarkEnd w:id="180"/>
      <w:r>
        <w:rPr>
          <w:rFonts w:ascii="Times New Roman" w:hAnsi="Times New Roman" w:eastAsia="宋体"/>
          <w:sz w:val="28"/>
        </w:rPr>
        <w:t xml:space="preserve">的编制</w:t>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r/>
    </w:p>
    <w:p>
      <w:pPr>
        <w:numPr>
          <w:ilvl w:val="0"/>
          <w:numId w:val="8"/>
        </w:numPr>
        <w:ind w:left="357" w:hanging="357"/>
        <w:spacing w:line="360" w:lineRule="auto"/>
        <w:tabs>
          <w:tab w:val="left" w:pos="360" w:leader="none"/>
        </w:tabs>
        <w:rPr>
          <w:sz w:val="24"/>
        </w:rPr>
        <w:outlineLvl w:val="1"/>
      </w:pPr>
      <w:r/>
      <w:bookmarkStart w:id="203" w:name="_Toc151190154"/>
      <w:r/>
      <w:bookmarkStart w:id="204" w:name="_Toc149720820"/>
      <w:r/>
      <w:bookmarkStart w:id="205" w:name="_Toc226337223"/>
      <w:r/>
      <w:bookmarkStart w:id="206" w:name="_Toc151193625"/>
      <w:r/>
      <w:bookmarkStart w:id="207" w:name="_Toc164351621"/>
      <w:r/>
      <w:bookmarkStart w:id="208" w:name="_Toc142311029"/>
      <w:r/>
      <w:bookmarkStart w:id="209" w:name="_Toc226309771"/>
      <w:r/>
      <w:bookmarkStart w:id="210" w:name="_Toc265228365"/>
      <w:r/>
      <w:bookmarkStart w:id="211" w:name="_Toc520356151"/>
      <w:r/>
      <w:bookmarkStart w:id="212" w:name="_Toc127151527"/>
      <w:r/>
      <w:bookmarkStart w:id="213" w:name="_Toc164608796"/>
      <w:r/>
      <w:bookmarkStart w:id="214" w:name="_Toc151193697"/>
      <w:r/>
      <w:bookmarkStart w:id="215" w:name="_Toc151193915"/>
      <w:r/>
      <w:bookmarkStart w:id="216" w:name="_Toc164608641"/>
      <w:r/>
      <w:bookmarkStart w:id="217" w:name="_Toc151193841"/>
      <w:r/>
      <w:bookmarkStart w:id="218" w:name="_Toc195842892"/>
      <w:r/>
      <w:bookmarkStart w:id="219" w:name="_Toc264969217"/>
      <w:r/>
      <w:bookmarkStart w:id="220" w:name="_Toc226965800"/>
      <w:r/>
      <w:bookmarkStart w:id="221" w:name="_Toc305158869"/>
      <w:r/>
      <w:bookmarkStart w:id="222" w:name="_Toc150480765"/>
      <w:r/>
      <w:bookmarkStart w:id="223" w:name="_Toc150774732"/>
      <w:r/>
      <w:bookmarkStart w:id="224" w:name="_Toc127161441"/>
      <w:r/>
      <w:bookmarkStart w:id="225" w:name="_Toc516367021"/>
      <w:r/>
      <w:bookmarkStart w:id="226" w:name="_Toc150509278"/>
      <w:r/>
      <w:bookmarkStart w:id="227" w:name="_Toc127151728"/>
      <w:r/>
      <w:bookmarkStart w:id="228" w:name="_Toc305158795"/>
      <w:r/>
      <w:bookmarkStart w:id="229" w:name="_Toc226965717"/>
      <w:r/>
      <w:bookmarkStart w:id="230" w:name="_Toc164229368"/>
      <w:r/>
      <w:bookmarkStart w:id="231" w:name="_Toc151193769"/>
      <w:r/>
      <w:bookmarkStart w:id="232" w:name="_Toc164229222"/>
      <w:r/>
      <w:bookmarkStart w:id="233" w:name="_Toc150774627"/>
      <w:r>
        <w:rPr>
          <w:sz w:val="24"/>
        </w:rPr>
        <w:t xml:space="preserve">响应范围、竞争性磋商文件中计量单位的使用</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rPr>
          <w:sz w:val="24"/>
        </w:rPr>
        <w:t xml:space="preserve">及磋商语言</w:t>
      </w:r>
      <w:r/>
    </w:p>
    <w:p>
      <w:pPr>
        <w:numPr>
          <w:ilvl w:val="1"/>
          <w:numId w:val="8"/>
        </w:numPr>
        <w:ind w:left="1080" w:hanging="720"/>
        <w:spacing w:line="360" w:lineRule="auto"/>
        <w:tabs>
          <w:tab w:val="left" w:pos="1080" w:leader="none"/>
          <w:tab w:val="left" w:pos="2014" w:leader="none"/>
        </w:tabs>
        <w:rPr>
          <w:sz w:val="24"/>
        </w:rPr>
      </w:pPr>
      <w:r>
        <w:rPr>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 w:val="24"/>
        </w:rPr>
        <w:t xml:space="preserve">响应无效</w:t>
      </w:r>
      <w:r>
        <w:rPr>
          <w:sz w:val="24"/>
        </w:rPr>
        <w:t xml:space="preserve">。</w:t>
      </w:r>
      <w:r/>
    </w:p>
    <w:p>
      <w:pPr>
        <w:numPr>
          <w:ilvl w:val="1"/>
          <w:numId w:val="8"/>
        </w:numPr>
        <w:ind w:left="1080" w:hanging="720"/>
        <w:spacing w:line="360" w:lineRule="auto"/>
        <w:tabs>
          <w:tab w:val="left" w:pos="1080" w:leader="none"/>
          <w:tab w:val="left" w:pos="2014" w:leader="none"/>
        </w:tabs>
        <w:rPr>
          <w:sz w:val="24"/>
        </w:rPr>
      </w:pPr>
      <w:r>
        <w:rPr>
          <w:sz w:val="24"/>
        </w:rPr>
        <w:t xml:space="preserve">除竞争性磋商文件有特殊要求外，本项目磋商所使用的计量单位，应采用中华人民共和国法定计量单位。</w:t>
      </w:r>
      <w:r/>
    </w:p>
    <w:p>
      <w:pPr>
        <w:numPr>
          <w:ilvl w:val="1"/>
          <w:numId w:val="8"/>
        </w:numPr>
        <w:ind w:left="1080" w:hanging="720"/>
        <w:spacing w:line="360" w:lineRule="auto"/>
        <w:tabs>
          <w:tab w:val="left" w:pos="1080" w:leader="none"/>
          <w:tab w:val="left" w:pos="2014" w:leader="none"/>
        </w:tabs>
        <w:rPr>
          <w:sz w:val="24"/>
        </w:rPr>
      </w:pPr>
      <w:r>
        <w:rPr>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8"/>
        </w:numPr>
        <w:ind w:left="357" w:hanging="357"/>
        <w:spacing w:line="360" w:lineRule="auto"/>
        <w:tabs>
          <w:tab w:val="left" w:pos="360" w:leader="none"/>
        </w:tabs>
        <w:rPr>
          <w:sz w:val="24"/>
        </w:rPr>
        <w:outlineLvl w:val="1"/>
      </w:pPr>
      <w:r/>
      <w:bookmarkStart w:id="234" w:name="_Ref467306195"/>
      <w:r/>
      <w:bookmarkStart w:id="235" w:name="_Ref467306676"/>
      <w:r/>
      <w:bookmarkStart w:id="236" w:name="_Toc516367022"/>
      <w:r/>
      <w:bookmarkStart w:id="237" w:name="_Toc305158796"/>
      <w:r/>
      <w:bookmarkStart w:id="238" w:name="_Toc127151528"/>
      <w:r/>
      <w:bookmarkStart w:id="239" w:name="_Toc265228366"/>
      <w:r/>
      <w:bookmarkStart w:id="240" w:name="_Toc164351622"/>
      <w:r/>
      <w:bookmarkStart w:id="241" w:name="_Toc226309772"/>
      <w:r/>
      <w:bookmarkStart w:id="242" w:name="_Toc151193698"/>
      <w:r/>
      <w:bookmarkStart w:id="243" w:name="_Toc150774628"/>
      <w:r/>
      <w:bookmarkStart w:id="244" w:name="_Toc151193626"/>
      <w:r/>
      <w:bookmarkStart w:id="245" w:name="_Toc195842893"/>
      <w:r/>
      <w:bookmarkStart w:id="246" w:name="_Toc520356152"/>
      <w:r/>
      <w:bookmarkStart w:id="247" w:name="_Toc151193770"/>
      <w:r/>
      <w:bookmarkStart w:id="248" w:name="_Toc226337224"/>
      <w:r/>
      <w:bookmarkStart w:id="249" w:name="_Toc150480766"/>
      <w:r/>
      <w:bookmarkStart w:id="250" w:name="_Toc127151729"/>
      <w:r/>
      <w:bookmarkStart w:id="251" w:name="_Toc150774733"/>
      <w:r/>
      <w:bookmarkStart w:id="252" w:name="_Toc151193916"/>
      <w:r/>
      <w:bookmarkStart w:id="253" w:name="_Toc142311030"/>
      <w:r/>
      <w:bookmarkStart w:id="254" w:name="_Toc264969218"/>
      <w:r/>
      <w:bookmarkStart w:id="255" w:name="_Toc127161442"/>
      <w:r/>
      <w:bookmarkStart w:id="256" w:name="_Toc226965801"/>
      <w:r/>
      <w:bookmarkStart w:id="257" w:name="_Toc226965718"/>
      <w:r/>
      <w:bookmarkStart w:id="258" w:name="_Toc164229369"/>
      <w:r/>
      <w:bookmarkStart w:id="259" w:name="_Toc151193842"/>
      <w:r/>
      <w:bookmarkStart w:id="260" w:name="_Toc164608642"/>
      <w:r/>
      <w:bookmarkStart w:id="261" w:name="_Toc150509279"/>
      <w:r/>
      <w:bookmarkStart w:id="262" w:name="_Toc305158870"/>
      <w:r/>
      <w:bookmarkStart w:id="263" w:name="_Toc149720821"/>
      <w:r/>
      <w:bookmarkStart w:id="264" w:name="_Toc164608797"/>
      <w:r/>
      <w:bookmarkStart w:id="265" w:name="_Toc164229223"/>
      <w:r/>
      <w:bookmarkStart w:id="266" w:name="_Toc151190155"/>
      <w:r>
        <w:rPr>
          <w:sz w:val="24"/>
        </w:rPr>
        <w:t xml:space="preserve">响应文件</w:t>
      </w:r>
      <w:bookmarkEnd w:id="234"/>
      <w:r/>
      <w:bookmarkEnd w:id="235"/>
      <w:r/>
      <w:bookmarkEnd w:id="236"/>
      <w:r>
        <w:rPr>
          <w:sz w:val="24"/>
        </w:rPr>
        <w:t xml:space="preserve">构成</w:t>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
    </w:p>
    <w:p>
      <w:pPr>
        <w:numPr>
          <w:ilvl w:val="1"/>
          <w:numId w:val="8"/>
        </w:numPr>
        <w:ind w:left="1077" w:hanging="720"/>
        <w:spacing w:line="360" w:lineRule="auto"/>
        <w:tabs>
          <w:tab w:val="left" w:pos="1080" w:leader="none"/>
          <w:tab w:val="left" w:pos="2014" w:leader="none"/>
        </w:tabs>
        <w:rPr>
          <w:sz w:val="24"/>
        </w:rPr>
      </w:pPr>
      <w:r/>
      <w:bookmarkStart w:id="267" w:name="_Ref467052588"/>
      <w:r>
        <w:rPr>
          <w:sz w:val="24"/>
        </w:rPr>
        <w:t xml:space="preserve">供应商应当按照竞争性磋商文件的要求编制响应文件，并对其提交的响应文件的真实性、合法性承担法律责任。响应文件的部分格式要求，见第六章《响应文件格式》。</w:t>
      </w:r>
      <w:r/>
    </w:p>
    <w:p>
      <w:pPr>
        <w:numPr>
          <w:ilvl w:val="1"/>
          <w:numId w:val="8"/>
        </w:numPr>
        <w:ind w:left="1077" w:hanging="720"/>
        <w:spacing w:line="360" w:lineRule="auto"/>
        <w:tabs>
          <w:tab w:val="left" w:pos="1080" w:leader="none"/>
          <w:tab w:val="left" w:pos="2014" w:leader="none"/>
        </w:tabs>
        <w:rPr>
          <w:sz w:val="24"/>
        </w:rPr>
      </w:pPr>
      <w:r>
        <w:rPr>
          <w:sz w:val="24"/>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p>
    <w:p>
      <w:pPr>
        <w:numPr>
          <w:ilvl w:val="1"/>
          <w:numId w:val="8"/>
        </w:numPr>
        <w:ind w:left="1077" w:hanging="720"/>
        <w:spacing w:line="360" w:lineRule="auto"/>
        <w:tabs>
          <w:tab w:val="left" w:pos="1080" w:leader="none"/>
          <w:tab w:val="left" w:pos="2014" w:leader="none"/>
        </w:tabs>
        <w:rPr>
          <w:sz w:val="24"/>
        </w:rPr>
      </w:pPr>
      <w:r>
        <w:rPr>
          <w:sz w:val="24"/>
        </w:rPr>
        <w:t xml:space="preserve">第三章《评审方法和评审标准》中涉及的证明文件。</w:t>
      </w:r>
      <w:r/>
    </w:p>
    <w:p>
      <w:pPr>
        <w:numPr>
          <w:ilvl w:val="1"/>
          <w:numId w:val="8"/>
        </w:numPr>
        <w:ind w:left="1077" w:hanging="720"/>
        <w:spacing w:line="360" w:lineRule="auto"/>
        <w:tabs>
          <w:tab w:val="left" w:pos="1080" w:leader="none"/>
          <w:tab w:val="left" w:pos="2014" w:leader="none"/>
        </w:tabs>
        <w:rPr>
          <w:sz w:val="24"/>
        </w:rPr>
      </w:pPr>
      <w:r>
        <w:rPr>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8"/>
        </w:numPr>
        <w:ind w:left="1077" w:hanging="720"/>
        <w:spacing w:line="360" w:lineRule="auto"/>
        <w:tabs>
          <w:tab w:val="left" w:pos="1080" w:leader="none"/>
          <w:tab w:val="left" w:pos="2014" w:leader="none"/>
        </w:tabs>
        <w:rPr>
          <w:sz w:val="24"/>
        </w:rPr>
      </w:pPr>
      <w:r>
        <w:rPr>
          <w:sz w:val="24"/>
        </w:rPr>
        <w:t xml:space="preserve">供应商认为应附的其他材料。</w:t>
      </w:r>
      <w:bookmarkEnd w:id="267"/>
      <w:r/>
      <w:r/>
    </w:p>
    <w:p>
      <w:pPr>
        <w:numPr>
          <w:ilvl w:val="0"/>
          <w:numId w:val="8"/>
        </w:numPr>
        <w:ind w:left="357" w:hanging="357"/>
        <w:spacing w:line="360" w:lineRule="auto"/>
        <w:tabs>
          <w:tab w:val="left" w:pos="360" w:leader="none"/>
        </w:tabs>
        <w:rPr>
          <w:sz w:val="24"/>
        </w:rPr>
        <w:outlineLvl w:val="1"/>
      </w:pPr>
      <w:r/>
      <w:bookmarkStart w:id="268" w:name="_Toc520356155"/>
      <w:r/>
      <w:bookmarkStart w:id="269" w:name="_Toc151193628"/>
      <w:r/>
      <w:bookmarkStart w:id="270" w:name="_Toc164351624"/>
      <w:r/>
      <w:bookmarkStart w:id="271" w:name="_Toc127151530"/>
      <w:r/>
      <w:bookmarkStart w:id="272" w:name="_Toc151193772"/>
      <w:r/>
      <w:bookmarkStart w:id="273" w:name="_Toc142311032"/>
      <w:r/>
      <w:bookmarkStart w:id="274" w:name="_Toc164608644"/>
      <w:r/>
      <w:bookmarkStart w:id="275" w:name="_Toc151190157"/>
      <w:r/>
      <w:bookmarkStart w:id="276" w:name="_Toc150480768"/>
      <w:r/>
      <w:bookmarkStart w:id="277" w:name="_Toc195842895"/>
      <w:r/>
      <w:bookmarkStart w:id="278" w:name="_Toc150509281"/>
      <w:r/>
      <w:bookmarkStart w:id="279" w:name="_Toc164608799"/>
      <w:r/>
      <w:bookmarkStart w:id="280" w:name="_Toc151193700"/>
      <w:r/>
      <w:bookmarkStart w:id="281" w:name="_Toc164229371"/>
      <w:r/>
      <w:bookmarkStart w:id="282" w:name="_Toc164229225"/>
      <w:r/>
      <w:bookmarkStart w:id="283" w:name="_Toc150774630"/>
      <w:r/>
      <w:bookmarkStart w:id="284" w:name="_Toc151193918"/>
      <w:r/>
      <w:bookmarkStart w:id="285" w:name="_Toc149720823"/>
      <w:r/>
      <w:bookmarkStart w:id="286" w:name="_Toc151193844"/>
      <w:r/>
      <w:bookmarkStart w:id="287" w:name="_Toc127161444"/>
      <w:r/>
      <w:bookmarkStart w:id="288" w:name="_Toc127151731"/>
      <w:r/>
      <w:bookmarkStart w:id="289" w:name="_Toc150774735"/>
      <w:r>
        <w:rPr>
          <w:sz w:val="24"/>
        </w:rPr>
        <w:t xml:space="preserve">报价</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
    </w:p>
    <w:p>
      <w:pPr>
        <w:numPr>
          <w:ilvl w:val="1"/>
          <w:numId w:val="8"/>
        </w:numPr>
        <w:ind w:left="1077" w:hanging="720"/>
        <w:spacing w:line="360" w:lineRule="auto"/>
        <w:tabs>
          <w:tab w:val="left" w:pos="1080" w:leader="none"/>
          <w:tab w:val="left" w:pos="2014" w:leader="none"/>
        </w:tabs>
        <w:rPr>
          <w:sz w:val="24"/>
        </w:rPr>
      </w:pPr>
      <w:r>
        <w:rPr>
          <w:sz w:val="24"/>
        </w:rPr>
        <w:t xml:space="preserve">所有响应均以人民币报价。</w:t>
      </w:r>
      <w:r/>
    </w:p>
    <w:p>
      <w:pPr>
        <w:numPr>
          <w:ilvl w:val="1"/>
          <w:numId w:val="8"/>
        </w:numPr>
        <w:spacing w:line="360" w:lineRule="auto"/>
        <w:tabs>
          <w:tab w:val="left" w:pos="1080" w:leader="none"/>
        </w:tabs>
        <w:rPr>
          <w:sz w:val="24"/>
        </w:rPr>
      </w:pPr>
      <w:r>
        <w:rPr>
          <w:sz w:val="24"/>
        </w:rPr>
        <w:t xml:space="preserve">供应商的报价应包括为完成本项目所发生的一切费用和税费，采购人将不再支付报价以外的任何费用。</w:t>
      </w:r>
      <w:r>
        <w:rPr>
          <w:rFonts w:hint="eastAsia"/>
          <w:sz w:val="24"/>
        </w:rPr>
        <w:t xml:space="preserve">供应商的报价应包括但不限于下列内容，《供应商须知资料表》中有特殊规定的，从其规定。</w:t>
      </w:r>
      <w:r/>
    </w:p>
    <w:p>
      <w:pPr>
        <w:numPr>
          <w:ilvl w:val="2"/>
          <w:numId w:val="8"/>
        </w:numPr>
        <w:spacing w:line="360" w:lineRule="auto"/>
        <w:rPr>
          <w:sz w:val="24"/>
        </w:rPr>
      </w:pPr>
      <w:r>
        <w:rPr>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numPr>
          <w:ilvl w:val="2"/>
          <w:numId w:val="8"/>
        </w:numPr>
        <w:spacing w:line="360" w:lineRule="auto"/>
        <w:rPr>
          <w:sz w:val="24"/>
        </w:rPr>
      </w:pPr>
      <w:r>
        <w:rPr>
          <w:sz w:val="24"/>
        </w:rPr>
        <w:t xml:space="preserve">按照竞争性磋商文件要求完成本项</w:t>
      </w:r>
      <w:r>
        <w:rPr>
          <w:rFonts w:hint="eastAsia"/>
          <w:sz w:val="24"/>
        </w:rPr>
        <w:t xml:space="preserve">目的全部相关工程或服务费用。</w:t>
      </w:r>
      <w:r/>
    </w:p>
    <w:p>
      <w:pPr>
        <w:numPr>
          <w:ilvl w:val="1"/>
          <w:numId w:val="8"/>
        </w:numPr>
        <w:ind w:left="1077" w:hanging="720"/>
        <w:spacing w:line="360" w:lineRule="auto"/>
        <w:tabs>
          <w:tab w:val="left" w:pos="1080" w:leader="none"/>
          <w:tab w:val="left" w:pos="2014" w:leader="none"/>
        </w:tabs>
        <w:rPr>
          <w:sz w:val="24"/>
        </w:rPr>
      </w:pPr>
      <w:r>
        <w:rPr>
          <w:sz w:val="24"/>
        </w:rPr>
        <w:t xml:space="preserve">采购人不得向供应商索要或者接受其给予的赠品、回扣或者与采购无关的其他商品、服务。</w:t>
      </w:r>
      <w:r/>
    </w:p>
    <w:p>
      <w:pPr>
        <w:numPr>
          <w:ilvl w:val="1"/>
          <w:numId w:val="8"/>
        </w:numPr>
        <w:ind w:left="1080" w:hanging="720"/>
        <w:spacing w:line="360" w:lineRule="auto"/>
        <w:tabs>
          <w:tab w:val="left" w:pos="1080" w:leader="none"/>
          <w:tab w:val="left" w:pos="2014" w:leader="none"/>
        </w:tabs>
        <w:rPr>
          <w:sz w:val="24"/>
        </w:rPr>
      </w:pPr>
      <w:r>
        <w:rPr>
          <w:sz w:val="24"/>
        </w:rPr>
        <w:t xml:space="preserve">供应商不能提供任何有选择性或可调整的最终报价（</w:t>
      </w:r>
      <w:r>
        <w:rPr>
          <w:color w:val="000000"/>
          <w:sz w:val="24"/>
        </w:rPr>
        <w:t xml:space="preserve">竞争性磋商文件</w:t>
      </w:r>
      <w:r>
        <w:rPr>
          <w:sz w:val="24"/>
        </w:rPr>
        <w:t xml:space="preserve">另有规定的除外），否则其</w:t>
      </w:r>
      <w:r>
        <w:rPr>
          <w:b/>
          <w:sz w:val="24"/>
        </w:rPr>
        <w:t xml:space="preserve">响应无效</w:t>
      </w:r>
      <w:r>
        <w:rPr>
          <w:sz w:val="24"/>
        </w:rPr>
        <w:t xml:space="preserve">。</w:t>
      </w:r>
      <w:r/>
    </w:p>
    <w:p>
      <w:pPr>
        <w:numPr>
          <w:ilvl w:val="0"/>
          <w:numId w:val="8"/>
        </w:numPr>
        <w:ind w:left="357" w:hanging="357"/>
        <w:spacing w:line="360" w:lineRule="auto"/>
        <w:tabs>
          <w:tab w:val="left" w:pos="360" w:leader="none"/>
        </w:tabs>
        <w:rPr>
          <w:sz w:val="24"/>
        </w:rPr>
        <w:outlineLvl w:val="1"/>
      </w:pPr>
      <w:r>
        <w:rPr>
          <w:sz w:val="24"/>
        </w:rPr>
        <w:t xml:space="preserve">磋商保证金</w:t>
      </w:r>
      <w:r/>
    </w:p>
    <w:p>
      <w:pPr>
        <w:ind w:firstLine="360"/>
        <w:spacing w:line="360" w:lineRule="auto"/>
        <w:tabs>
          <w:tab w:val="left" w:pos="360" w:leader="none"/>
        </w:tabs>
        <w:rPr>
          <w:sz w:val="24"/>
        </w:rPr>
        <w:outlineLvl w:val="1"/>
      </w:pPr>
      <w:r>
        <w:rPr>
          <w:rFonts w:hint="eastAsia"/>
          <w:sz w:val="24"/>
        </w:rPr>
        <w:t xml:space="preserve">根据江苏省和常州市的相关文件规定，免收保证金。</w:t>
      </w:r>
      <w:r/>
    </w:p>
    <w:p>
      <w:pPr>
        <w:numPr>
          <w:ilvl w:val="0"/>
          <w:numId w:val="8"/>
        </w:numPr>
        <w:ind w:left="357" w:hanging="357"/>
        <w:spacing w:line="360" w:lineRule="auto"/>
        <w:tabs>
          <w:tab w:val="left" w:pos="360" w:leader="none"/>
        </w:tabs>
        <w:rPr>
          <w:sz w:val="24"/>
        </w:rPr>
        <w:outlineLvl w:val="1"/>
      </w:pPr>
      <w:r>
        <w:rPr>
          <w:sz w:val="24"/>
        </w:rPr>
        <w:t xml:space="preserve">响应有效期</w:t>
      </w:r>
      <w:r/>
    </w:p>
    <w:p>
      <w:pPr>
        <w:numPr>
          <w:ilvl w:val="1"/>
          <w:numId w:val="8"/>
        </w:numPr>
        <w:ind w:left="1077" w:hanging="720"/>
        <w:spacing w:line="360" w:lineRule="auto"/>
        <w:tabs>
          <w:tab w:val="left" w:pos="1080" w:leader="none"/>
          <w:tab w:val="left" w:pos="2014" w:leader="none"/>
        </w:tabs>
        <w:rPr>
          <w:sz w:val="24"/>
        </w:rPr>
      </w:pPr>
      <w:r>
        <w:rPr>
          <w:sz w:val="24"/>
        </w:rPr>
        <w:t xml:space="preserve">响应文件应在本竞争性磋商文件《供应商须知资料表》中规定的响应有效期内保持有效，响应有效期少于竞争性磋商文件规定期限的，其</w:t>
      </w:r>
      <w:r>
        <w:rPr>
          <w:b/>
          <w:sz w:val="24"/>
        </w:rPr>
        <w:t xml:space="preserve">响应无效</w:t>
      </w:r>
      <w:r>
        <w:rPr>
          <w:sz w:val="24"/>
        </w:rPr>
        <w:t xml:space="preserve">。</w:t>
      </w:r>
      <w:r/>
    </w:p>
    <w:p>
      <w:pPr>
        <w:numPr>
          <w:ilvl w:val="0"/>
          <w:numId w:val="8"/>
        </w:numPr>
        <w:ind w:left="357" w:hanging="357"/>
        <w:spacing w:line="360" w:lineRule="auto"/>
        <w:tabs>
          <w:tab w:val="left" w:pos="360" w:leader="none"/>
        </w:tabs>
        <w:rPr>
          <w:sz w:val="24"/>
        </w:rPr>
        <w:outlineLvl w:val="1"/>
      </w:pPr>
      <w:r/>
      <w:bookmarkStart w:id="290" w:name="_Toc226309777"/>
      <w:r/>
      <w:bookmarkStart w:id="291" w:name="_Toc150509284"/>
      <w:r/>
      <w:bookmarkStart w:id="292" w:name="_Toc142311035"/>
      <w:r/>
      <w:bookmarkStart w:id="293" w:name="_Toc151193847"/>
      <w:r/>
      <w:bookmarkStart w:id="294" w:name="_Toc151190160"/>
      <w:r/>
      <w:bookmarkStart w:id="295" w:name="_Toc164608802"/>
      <w:r/>
      <w:bookmarkStart w:id="296" w:name="_Toc520356158"/>
      <w:r/>
      <w:bookmarkStart w:id="297" w:name="_Toc150480771"/>
      <w:r/>
      <w:bookmarkStart w:id="298" w:name="_Toc265228371"/>
      <w:r/>
      <w:bookmarkStart w:id="299" w:name="_Toc226337229"/>
      <w:r/>
      <w:bookmarkStart w:id="300" w:name="_Toc150774633"/>
      <w:r/>
      <w:bookmarkStart w:id="301" w:name="_Toc127151533"/>
      <w:r/>
      <w:bookmarkStart w:id="302" w:name="_Toc164229374"/>
      <w:r/>
      <w:bookmarkStart w:id="303" w:name="_Toc151193775"/>
      <w:r/>
      <w:bookmarkStart w:id="304" w:name="_Toc164229228"/>
      <w:r/>
      <w:bookmarkStart w:id="305" w:name="_Toc127151734"/>
      <w:r/>
      <w:bookmarkStart w:id="306" w:name="_Toc149720826"/>
      <w:r/>
      <w:bookmarkStart w:id="307" w:name="_Toc264969223"/>
      <w:r/>
      <w:bookmarkStart w:id="308" w:name="_Toc305158801"/>
      <w:r/>
      <w:bookmarkStart w:id="309" w:name="_Toc151193921"/>
      <w:r/>
      <w:bookmarkStart w:id="310" w:name="_Toc164608647"/>
      <w:r/>
      <w:bookmarkStart w:id="311" w:name="_Toc226965723"/>
      <w:r/>
      <w:bookmarkStart w:id="312" w:name="_Toc164351627"/>
      <w:r/>
      <w:bookmarkStart w:id="313" w:name="_Toc226965806"/>
      <w:r/>
      <w:bookmarkStart w:id="314" w:name="_Toc127161447"/>
      <w:r/>
      <w:bookmarkStart w:id="315" w:name="_Toc151193631"/>
      <w:r/>
      <w:bookmarkStart w:id="316" w:name="_Toc151193703"/>
      <w:r/>
      <w:bookmarkStart w:id="317" w:name="_Toc305158875"/>
      <w:r/>
      <w:bookmarkStart w:id="318" w:name="_Toc195842898"/>
      <w:r/>
      <w:bookmarkStart w:id="319" w:name="_Toc150774738"/>
      <w:r>
        <w:rPr>
          <w:sz w:val="24"/>
        </w:rPr>
        <w:t xml:space="preserve">响应文件的签署</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Pr>
          <w:sz w:val="24"/>
        </w:rPr>
        <w:t xml:space="preserve">、盖章</w:t>
      </w:r>
      <w:r/>
    </w:p>
    <w:p>
      <w:pPr>
        <w:numPr>
          <w:ilvl w:val="1"/>
          <w:numId w:val="8"/>
        </w:numPr>
        <w:spacing w:line="360" w:lineRule="auto"/>
        <w:tabs>
          <w:tab w:val="left" w:pos="1080" w:leader="none"/>
        </w:tabs>
        <w:rPr>
          <w:sz w:val="24"/>
        </w:rPr>
      </w:pPr>
      <w:r/>
      <w:bookmarkStart w:id="320" w:name="_Toc151193632"/>
      <w:r/>
      <w:bookmarkStart w:id="321" w:name="_Toc305158802"/>
      <w:r/>
      <w:bookmarkStart w:id="322" w:name="_Toc520356159"/>
      <w:r/>
      <w:bookmarkStart w:id="323" w:name="_Toc150774634"/>
      <w:r/>
      <w:bookmarkStart w:id="324" w:name="_Toc127151534"/>
      <w:r/>
      <w:bookmarkStart w:id="325" w:name="_Toc142311036"/>
      <w:r/>
      <w:bookmarkStart w:id="326" w:name="_Toc151190161"/>
      <w:r/>
      <w:bookmarkStart w:id="327" w:name="_Toc226337230"/>
      <w:r/>
      <w:bookmarkStart w:id="328" w:name="_Toc265228372"/>
      <w:r/>
      <w:bookmarkStart w:id="329" w:name="_Toc151193848"/>
      <w:r/>
      <w:bookmarkStart w:id="330" w:name="_Toc151193776"/>
      <w:r/>
      <w:bookmarkStart w:id="331" w:name="_Toc305158876"/>
      <w:r/>
      <w:bookmarkStart w:id="332" w:name="_Toc195842899"/>
      <w:r/>
      <w:bookmarkStart w:id="333" w:name="_Toc226309778"/>
      <w:r/>
      <w:bookmarkStart w:id="334" w:name="_Toc150480772"/>
      <w:r/>
      <w:bookmarkStart w:id="335" w:name="_Toc150509285"/>
      <w:r/>
      <w:bookmarkStart w:id="336" w:name="_Toc151193704"/>
      <w:r/>
      <w:bookmarkStart w:id="337" w:name="_Toc264969224"/>
      <w:r/>
      <w:bookmarkStart w:id="338" w:name="_Toc150774739"/>
      <w:r/>
      <w:bookmarkStart w:id="339" w:name="_Toc226965807"/>
      <w:r/>
      <w:bookmarkStart w:id="340" w:name="_Toc226965724"/>
      <w:r/>
      <w:bookmarkStart w:id="341" w:name="_Toc151193922"/>
      <w:r>
        <w:rPr>
          <w:sz w:val="24"/>
        </w:rPr>
        <w:t xml:space="preserve">竞争性磋商文件要求签字的内容（如授权委托书等），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第三方出具的盖章件原件（如联合协议、分包意向协议、制造商授权书原件等），响应文件中应使用原件的电子件。</w:t>
      </w:r>
      <w:r/>
    </w:p>
    <w:p>
      <w:pPr>
        <w:numPr>
          <w:ilvl w:val="1"/>
          <w:numId w:val="8"/>
        </w:numPr>
        <w:ind w:left="1077" w:hanging="720"/>
        <w:spacing w:line="360" w:lineRule="auto"/>
        <w:tabs>
          <w:tab w:val="left" w:pos="1080" w:leader="none"/>
          <w:tab w:val="left" w:pos="2014" w:leader="none"/>
        </w:tabs>
        <w:rPr>
          <w:sz w:val="24"/>
        </w:rPr>
      </w:pPr>
      <w:r>
        <w:rPr>
          <w:sz w:val="24"/>
        </w:rPr>
        <w:t xml:space="preserve">竞争性磋商文件要求盖章的内容，</w:t>
      </w:r>
      <w:r>
        <w:rPr>
          <w:rFonts w:hint="eastAsia"/>
          <w:sz w:val="24"/>
        </w:rPr>
        <w:t xml:space="preserve">一般</w:t>
      </w:r>
      <w:r>
        <w:rPr>
          <w:sz w:val="24"/>
        </w:rPr>
        <w:t xml:space="preserve">通过投标文件编制工具加盖电子签章。</w:t>
      </w:r>
      <w:r/>
    </w:p>
    <w:p>
      <w:pPr>
        <w:ind w:left="357"/>
        <w:spacing w:line="360" w:lineRule="auto"/>
        <w:tabs>
          <w:tab w:val="left" w:pos="900" w:leader="none"/>
          <w:tab w:val="left" w:pos="1080" w:leader="none"/>
        </w:tabs>
      </w:pPr>
      <w:r/>
      <w:r/>
    </w:p>
    <w:p>
      <w:pPr>
        <w:pStyle w:val="1033"/>
        <w:spacing w:before="0" w:line="360" w:lineRule="auto"/>
        <w:rPr>
          <w:rFonts w:ascii="Times New Roman" w:hAnsi="Times New Roman" w:eastAsia="宋体"/>
          <w:sz w:val="28"/>
        </w:rPr>
      </w:pPr>
      <w:r>
        <w:rPr>
          <w:rFonts w:ascii="Times New Roman" w:hAnsi="Times New Roman" w:eastAsia="宋体"/>
          <w:sz w:val="28"/>
        </w:rPr>
        <w:t xml:space="preserve">四   响应文件的提交</w:t>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
    </w:p>
    <w:p>
      <w:pPr>
        <w:numPr>
          <w:ilvl w:val="0"/>
          <w:numId w:val="8"/>
        </w:numPr>
        <w:ind w:left="357" w:hanging="357"/>
        <w:spacing w:line="360" w:lineRule="auto"/>
        <w:tabs>
          <w:tab w:val="left" w:pos="360" w:leader="none"/>
        </w:tabs>
        <w:rPr>
          <w:sz w:val="24"/>
        </w:rPr>
        <w:outlineLvl w:val="1"/>
      </w:pPr>
      <w:r/>
      <w:bookmarkStart w:id="342" w:name="_Toc127151535"/>
      <w:r/>
      <w:bookmarkStart w:id="343" w:name="_Toc150480773"/>
      <w:r/>
      <w:bookmarkStart w:id="344" w:name="_Toc142311037"/>
      <w:r/>
      <w:bookmarkStart w:id="345" w:name="_Toc226965808"/>
      <w:r/>
      <w:bookmarkStart w:id="346" w:name="_Toc305158803"/>
      <w:r/>
      <w:bookmarkStart w:id="347" w:name="_Toc226965725"/>
      <w:r/>
      <w:bookmarkStart w:id="348" w:name="_Toc265228373"/>
      <w:r/>
      <w:bookmarkStart w:id="349" w:name="_Toc127161449"/>
      <w:r/>
      <w:bookmarkStart w:id="350" w:name="_Toc150509286"/>
      <w:r/>
      <w:bookmarkStart w:id="351" w:name="_Toc520356160"/>
      <w:r/>
      <w:bookmarkStart w:id="352" w:name="_Toc226309779"/>
      <w:r/>
      <w:bookmarkStart w:id="353" w:name="_Toc150774740"/>
      <w:r/>
      <w:bookmarkStart w:id="354" w:name="_Toc164229376"/>
      <w:r/>
      <w:bookmarkStart w:id="355" w:name="_Toc151193849"/>
      <w:r/>
      <w:bookmarkStart w:id="356" w:name="_Toc164229230"/>
      <w:r/>
      <w:bookmarkStart w:id="357" w:name="_Toc226337231"/>
      <w:r/>
      <w:bookmarkStart w:id="358" w:name="_Toc149720828"/>
      <w:r/>
      <w:bookmarkStart w:id="359" w:name="_Toc151193777"/>
      <w:r/>
      <w:bookmarkStart w:id="360" w:name="_Toc151193705"/>
      <w:r/>
      <w:bookmarkStart w:id="361" w:name="_Toc151193633"/>
      <w:r/>
      <w:bookmarkStart w:id="362" w:name="_Toc164608649"/>
      <w:r/>
      <w:bookmarkStart w:id="363" w:name="_Toc150774635"/>
      <w:r/>
      <w:bookmarkStart w:id="364" w:name="_Toc164608804"/>
      <w:r/>
      <w:bookmarkStart w:id="365" w:name="_Toc127151736"/>
      <w:r/>
      <w:bookmarkStart w:id="366" w:name="_Toc164351629"/>
      <w:r/>
      <w:bookmarkStart w:id="367" w:name="_Toc305158877"/>
      <w:r/>
      <w:bookmarkStart w:id="368" w:name="_Toc195842900"/>
      <w:r/>
      <w:bookmarkStart w:id="369" w:name="_Toc151193923"/>
      <w:r/>
      <w:bookmarkStart w:id="370" w:name="_Toc151190162"/>
      <w:r/>
      <w:bookmarkStart w:id="371" w:name="_Toc264969225"/>
      <w:r>
        <w:rPr>
          <w:sz w:val="24"/>
        </w:rPr>
        <w:t xml:space="preserve">响应文件的</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Pr>
          <w:sz w:val="24"/>
        </w:rPr>
        <w:t xml:space="preserve">提交</w:t>
      </w:r>
      <w:r/>
    </w:p>
    <w:p>
      <w:pPr>
        <w:numPr>
          <w:ilvl w:val="1"/>
          <w:numId w:val="8"/>
        </w:numPr>
        <w:ind w:left="1077" w:hanging="720"/>
        <w:spacing w:line="360" w:lineRule="auto"/>
        <w:tabs>
          <w:tab w:val="left" w:pos="1080" w:leader="none"/>
          <w:tab w:val="left" w:pos="2014" w:leader="none"/>
        </w:tabs>
        <w:rPr>
          <w:sz w:val="24"/>
        </w:rPr>
      </w:pPr>
      <w:r>
        <w:rPr>
          <w:rFonts w:hint="eastAsia"/>
          <w:sz w:val="24"/>
        </w:rPr>
        <w:t xml:space="preserve">本项目使用“苏采云”平台。供应商根据竞争性磋商文件及“苏采云”供应商操作手册要求编制、生成并提交电子响应文件</w:t>
      </w:r>
      <w:r>
        <w:rPr>
          <w:sz w:val="24"/>
        </w:rPr>
        <w:t xml:space="preserve">。</w:t>
      </w:r>
      <w:r/>
    </w:p>
    <w:p>
      <w:pPr>
        <w:numPr>
          <w:ilvl w:val="1"/>
          <w:numId w:val="8"/>
        </w:numPr>
        <w:ind w:left="1077" w:hanging="720"/>
        <w:spacing w:line="360" w:lineRule="auto"/>
        <w:tabs>
          <w:tab w:val="left" w:pos="1080" w:leader="none"/>
          <w:tab w:val="left" w:pos="2014" w:leader="none"/>
        </w:tabs>
        <w:rPr>
          <w:sz w:val="24"/>
        </w:rPr>
      </w:pPr>
      <w:r>
        <w:rPr>
          <w:sz w:val="24"/>
        </w:rPr>
        <w:t xml:space="preserve">采购人及采购代理机构拒绝接受通过电子交易平台以外任何形式提交的响应文件，磋商保证金除外。</w:t>
      </w:r>
      <w:r/>
    </w:p>
    <w:p>
      <w:pPr>
        <w:numPr>
          <w:ilvl w:val="0"/>
          <w:numId w:val="8"/>
        </w:numPr>
        <w:ind w:left="357" w:hanging="357"/>
        <w:spacing w:line="360" w:lineRule="auto"/>
        <w:tabs>
          <w:tab w:val="left" w:pos="360" w:leader="none"/>
        </w:tabs>
        <w:rPr>
          <w:sz w:val="24"/>
        </w:rPr>
        <w:outlineLvl w:val="1"/>
      </w:pPr>
      <w:r/>
      <w:bookmarkStart w:id="372" w:name="_Toc164608805"/>
      <w:r/>
      <w:bookmarkStart w:id="373" w:name="_Toc226965726"/>
      <w:r/>
      <w:bookmarkStart w:id="374" w:name="_Toc164608650"/>
      <w:r/>
      <w:bookmarkStart w:id="375" w:name="_Toc151193924"/>
      <w:r/>
      <w:bookmarkStart w:id="376" w:name="_Toc164351630"/>
      <w:r/>
      <w:bookmarkStart w:id="377" w:name="_Toc226337232"/>
      <w:r/>
      <w:bookmarkStart w:id="378" w:name="_Toc151193706"/>
      <w:r/>
      <w:bookmarkStart w:id="379" w:name="_Toc142311038"/>
      <w:r/>
      <w:bookmarkStart w:id="380" w:name="_Toc151190163"/>
      <w:r/>
      <w:bookmarkStart w:id="381" w:name="_Toc164229377"/>
      <w:r/>
      <w:bookmarkStart w:id="382" w:name="_Toc265228374"/>
      <w:r/>
      <w:bookmarkStart w:id="383" w:name="_Toc195842901"/>
      <w:r/>
      <w:bookmarkStart w:id="384" w:name="_Toc150509287"/>
      <w:r/>
      <w:bookmarkStart w:id="385" w:name="_Toc226965809"/>
      <w:r/>
      <w:bookmarkStart w:id="386" w:name="_Toc150774636"/>
      <w:r/>
      <w:bookmarkStart w:id="387" w:name="_Toc226309780"/>
      <w:r/>
      <w:bookmarkStart w:id="388" w:name="_Toc150480774"/>
      <w:r/>
      <w:bookmarkStart w:id="389" w:name="_Toc164229231"/>
      <w:r/>
      <w:bookmarkStart w:id="390" w:name="_Toc150774741"/>
      <w:r/>
      <w:bookmarkStart w:id="391" w:name="_Toc305158804"/>
      <w:r/>
      <w:bookmarkStart w:id="392" w:name="_Toc520356161"/>
      <w:r/>
      <w:bookmarkStart w:id="393" w:name="_Toc149720829"/>
      <w:r/>
      <w:bookmarkStart w:id="394" w:name="_Toc127151536"/>
      <w:r/>
      <w:bookmarkStart w:id="395" w:name="_Toc127161450"/>
      <w:r/>
      <w:bookmarkStart w:id="396" w:name="_Toc127151737"/>
      <w:r/>
      <w:bookmarkStart w:id="397" w:name="_Toc151193778"/>
      <w:r/>
      <w:bookmarkStart w:id="398" w:name="_Toc151193634"/>
      <w:r/>
      <w:bookmarkStart w:id="399" w:name="_Toc264969226"/>
      <w:r/>
      <w:bookmarkStart w:id="400" w:name="_Toc151193850"/>
      <w:r/>
      <w:bookmarkStart w:id="401" w:name="_Toc305158878"/>
      <w:r>
        <w:rPr>
          <w:sz w:val="24"/>
        </w:rPr>
        <w:t xml:space="preserve">响应文件截止</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Pr>
          <w:sz w:val="24"/>
        </w:rPr>
        <w:t xml:space="preserve">时间</w:t>
      </w:r>
      <w:r/>
    </w:p>
    <w:p>
      <w:pPr>
        <w:numPr>
          <w:ilvl w:val="1"/>
          <w:numId w:val="8"/>
        </w:numPr>
        <w:ind w:left="1077" w:hanging="720"/>
        <w:spacing w:line="360" w:lineRule="auto"/>
        <w:tabs>
          <w:tab w:val="left" w:pos="1080" w:leader="none"/>
          <w:tab w:val="left" w:pos="2014" w:leader="none"/>
        </w:tabs>
        <w:rPr>
          <w:sz w:val="24"/>
        </w:rPr>
      </w:pPr>
      <w:r>
        <w:rPr>
          <w:rFonts w:hint="eastAsia"/>
          <w:sz w:val="24"/>
        </w:rPr>
        <w:t xml:space="preserve">本项目使用“苏采云”平台。供应商根据竞争性磋商文件及“苏采云”供应商操作手册要求编制、生成并提交电子响应文件</w:t>
      </w:r>
      <w:r>
        <w:rPr>
          <w:sz w:val="24"/>
        </w:rPr>
        <w:t xml:space="preserve">。</w:t>
      </w:r>
      <w:r/>
    </w:p>
    <w:p>
      <w:pPr>
        <w:numPr>
          <w:ilvl w:val="0"/>
          <w:numId w:val="8"/>
        </w:numPr>
        <w:ind w:left="357" w:hanging="357"/>
        <w:spacing w:line="360" w:lineRule="auto"/>
        <w:tabs>
          <w:tab w:val="left" w:pos="360" w:leader="none"/>
        </w:tabs>
        <w:rPr>
          <w:sz w:val="24"/>
        </w:rPr>
        <w:outlineLvl w:val="1"/>
      </w:pPr>
      <w:r/>
      <w:bookmarkStart w:id="402" w:name="_Toc151190164"/>
      <w:r/>
      <w:bookmarkStart w:id="403" w:name="_Toc226965727"/>
      <w:r/>
      <w:bookmarkStart w:id="404" w:name="_Toc151193707"/>
      <w:r/>
      <w:bookmarkStart w:id="405" w:name="_Toc305158805"/>
      <w:r/>
      <w:bookmarkStart w:id="406" w:name="_Toc127151738"/>
      <w:r/>
      <w:bookmarkStart w:id="407" w:name="_Toc164608806"/>
      <w:r/>
      <w:bookmarkStart w:id="408" w:name="_Toc164351631"/>
      <w:r/>
      <w:bookmarkStart w:id="409" w:name="_Toc151193925"/>
      <w:r/>
      <w:bookmarkStart w:id="410" w:name="_Toc226965810"/>
      <w:r/>
      <w:bookmarkStart w:id="411" w:name="_Toc150480775"/>
      <w:r/>
      <w:bookmarkStart w:id="412" w:name="_Toc142311039"/>
      <w:r/>
      <w:bookmarkStart w:id="413" w:name="_Toc151193851"/>
      <w:r/>
      <w:bookmarkStart w:id="414" w:name="_Toc520356162"/>
      <w:r/>
      <w:bookmarkStart w:id="415" w:name="_Toc265228375"/>
      <w:r/>
      <w:bookmarkStart w:id="416" w:name="_Toc164229232"/>
      <w:r/>
      <w:bookmarkStart w:id="417" w:name="_Toc226337233"/>
      <w:r/>
      <w:bookmarkStart w:id="418" w:name="_Toc195842902"/>
      <w:r/>
      <w:bookmarkStart w:id="419" w:name="_Toc127151537"/>
      <w:r/>
      <w:bookmarkStart w:id="420" w:name="_Toc150774742"/>
      <w:r/>
      <w:bookmarkStart w:id="421" w:name="_Toc150509288"/>
      <w:r/>
      <w:bookmarkStart w:id="422" w:name="_Toc264969227"/>
      <w:r/>
      <w:bookmarkStart w:id="423" w:name="_Toc164229378"/>
      <w:r/>
      <w:bookmarkStart w:id="424" w:name="_Toc305158879"/>
      <w:r/>
      <w:bookmarkStart w:id="425" w:name="_Toc151193779"/>
      <w:r/>
      <w:bookmarkStart w:id="426" w:name="_Toc164608651"/>
      <w:r/>
      <w:bookmarkStart w:id="427" w:name="_Toc127161451"/>
      <w:r/>
      <w:bookmarkStart w:id="428" w:name="_Toc149720830"/>
      <w:r/>
      <w:bookmarkStart w:id="429" w:name="_Toc150774637"/>
      <w:r/>
      <w:bookmarkStart w:id="430" w:name="_Toc226309781"/>
      <w:r/>
      <w:bookmarkStart w:id="431" w:name="_Toc151193635"/>
      <w:r>
        <w:rPr>
          <w:sz w:val="24"/>
        </w:rPr>
        <w:t xml:space="preserve">响应文件的修改与撤回</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r/>
    </w:p>
    <w:p>
      <w:pPr>
        <w:numPr>
          <w:ilvl w:val="1"/>
          <w:numId w:val="8"/>
        </w:numPr>
        <w:ind w:left="1077" w:hanging="720"/>
        <w:spacing w:line="360" w:lineRule="auto"/>
        <w:tabs>
          <w:tab w:val="left" w:pos="1080" w:leader="none"/>
          <w:tab w:val="left" w:pos="2014" w:leader="none"/>
        </w:tabs>
        <w:rPr>
          <w:sz w:val="24"/>
        </w:rPr>
      </w:pPr>
      <w:r>
        <w:rPr>
          <w:sz w:val="24"/>
        </w:rPr>
        <w:t xml:space="preserve">提交响应文件截止时间前，供应商可以通过电子交易平台对所提交的响应文件进行补充、修改或者撤回。</w:t>
      </w:r>
      <w:r>
        <w:rPr>
          <w:color w:val="000000"/>
          <w:sz w:val="24"/>
        </w:rPr>
        <w:t xml:space="preserve">磋商保证金</w:t>
      </w:r>
      <w:r>
        <w:rPr>
          <w:rFonts w:hint="eastAsia"/>
          <w:color w:val="000000"/>
          <w:sz w:val="24"/>
        </w:rPr>
        <w:t xml:space="preserve">的</w:t>
      </w:r>
      <w:r>
        <w:rPr>
          <w:color w:val="000000"/>
          <w:sz w:val="24"/>
        </w:rPr>
        <w:t xml:space="preserve">补充、修改或者撤回</w:t>
      </w:r>
      <w:r>
        <w:rPr>
          <w:rFonts w:hint="eastAsia"/>
          <w:sz w:val="24"/>
        </w:rPr>
        <w:t xml:space="preserve">无需</w:t>
      </w:r>
      <w:r>
        <w:rPr>
          <w:sz w:val="24"/>
        </w:rPr>
        <w:t xml:space="preserve">通过电子交易平台</w:t>
      </w:r>
      <w:r>
        <w:rPr>
          <w:rFonts w:hint="eastAsia"/>
          <w:sz w:val="24"/>
        </w:rPr>
        <w:t xml:space="preserve">，</w:t>
      </w:r>
      <w:r>
        <w:rPr>
          <w:sz w:val="24"/>
        </w:rPr>
        <w:t xml:space="preserve">但应</w:t>
      </w:r>
      <w:r>
        <w:rPr>
          <w:rFonts w:hint="eastAsia"/>
          <w:sz w:val="24"/>
        </w:rPr>
        <w:t xml:space="preserve">就其</w:t>
      </w:r>
      <w:r>
        <w:rPr>
          <w:sz w:val="24"/>
        </w:rPr>
        <w:t xml:space="preserve">补充、修改或者撤回</w:t>
      </w:r>
      <w:r>
        <w:rPr>
          <w:rFonts w:hint="eastAsia"/>
          <w:sz w:val="24"/>
        </w:rPr>
        <w:t xml:space="preserve">通知</w:t>
      </w:r>
      <w:r>
        <w:rPr>
          <w:sz w:val="24"/>
        </w:rPr>
        <w:t xml:space="preserve">采购人或采购代理机构</w:t>
      </w:r>
      <w:r>
        <w:rPr>
          <w:color w:val="000000"/>
          <w:sz w:val="24"/>
        </w:rPr>
        <w:t xml:space="preserve">。</w:t>
      </w:r>
      <w:r/>
    </w:p>
    <w:p>
      <w:pPr>
        <w:numPr>
          <w:ilvl w:val="1"/>
          <w:numId w:val="8"/>
        </w:numPr>
        <w:ind w:left="1077" w:hanging="720"/>
        <w:spacing w:line="360" w:lineRule="auto"/>
        <w:tabs>
          <w:tab w:val="left" w:pos="1080" w:leader="none"/>
          <w:tab w:val="left" w:pos="2014" w:leader="none"/>
        </w:tabs>
        <w:rPr>
          <w:sz w:val="24"/>
        </w:rPr>
      </w:pPr>
      <w:r>
        <w:rPr>
          <w:sz w:val="24"/>
        </w:rPr>
        <w:t xml:space="preserve">供应商对响应文件的补充、修改的内容应当按照竞争性磋商文件要求签署、盖章，作为响应文件的组成部分。补充、修改的内容与响应文件不一致的，以补充、修改的内容为准。</w:t>
      </w:r>
      <w:r/>
    </w:p>
    <w:p>
      <w:pPr>
        <w:ind w:left="357"/>
        <w:spacing w:line="360" w:lineRule="auto"/>
        <w:tabs>
          <w:tab w:val="left" w:pos="900" w:leader="none"/>
          <w:tab w:val="left" w:pos="1080" w:leader="none"/>
          <w:tab w:val="left" w:pos="1589" w:leader="none"/>
        </w:tabs>
        <w:rPr>
          <w:sz w:val="24"/>
        </w:rPr>
      </w:pPr>
      <w:r>
        <w:rPr>
          <w:sz w:val="24"/>
        </w:rPr>
      </w:r>
      <w:r/>
    </w:p>
    <w:p>
      <w:pPr>
        <w:pStyle w:val="1033"/>
        <w:spacing w:before="0" w:line="360" w:lineRule="auto"/>
        <w:rPr>
          <w:rFonts w:ascii="Times New Roman" w:hAnsi="Times New Roman" w:eastAsia="宋体"/>
          <w:sz w:val="28"/>
        </w:rPr>
      </w:pPr>
      <w:r/>
      <w:bookmarkStart w:id="432" w:name="_Toc151193926"/>
      <w:r/>
      <w:bookmarkStart w:id="433" w:name="_Toc226965811"/>
      <w:r/>
      <w:bookmarkStart w:id="434" w:name="_Toc226309782"/>
      <w:r/>
      <w:bookmarkStart w:id="435" w:name="_Toc520356163"/>
      <w:r/>
      <w:bookmarkStart w:id="436" w:name="_Toc142311040"/>
      <w:r/>
      <w:bookmarkStart w:id="437" w:name="_Toc150774743"/>
      <w:r/>
      <w:bookmarkStart w:id="438" w:name="_Toc195842903"/>
      <w:r/>
      <w:bookmarkStart w:id="439" w:name="_Toc151190165"/>
      <w:r/>
      <w:bookmarkStart w:id="440" w:name="_Toc151193780"/>
      <w:r/>
      <w:bookmarkStart w:id="441" w:name="_Toc151193636"/>
      <w:r/>
      <w:bookmarkStart w:id="442" w:name="_Toc150509289"/>
      <w:r/>
      <w:bookmarkStart w:id="443" w:name="_Toc127151538"/>
      <w:r/>
      <w:bookmarkStart w:id="444" w:name="_Toc264969228"/>
      <w:r/>
      <w:bookmarkStart w:id="445" w:name="_Toc305158806"/>
      <w:r/>
      <w:bookmarkStart w:id="446" w:name="_Toc150774638"/>
      <w:r/>
      <w:bookmarkStart w:id="447" w:name="_Toc150480776"/>
      <w:r/>
      <w:bookmarkStart w:id="448" w:name="_Toc305158880"/>
      <w:r/>
      <w:bookmarkStart w:id="449" w:name="_Toc226965728"/>
      <w:r/>
      <w:bookmarkStart w:id="450" w:name="_Toc226337234"/>
      <w:r/>
      <w:bookmarkStart w:id="451" w:name="_Toc151193852"/>
      <w:r/>
      <w:bookmarkStart w:id="452" w:name="_Toc265228376"/>
      <w:r/>
      <w:bookmarkStart w:id="453" w:name="_Toc151193708"/>
      <w:r>
        <w:rPr>
          <w:rFonts w:ascii="Times New Roman" w:hAnsi="Times New Roman" w:eastAsia="宋体"/>
          <w:sz w:val="28"/>
        </w:rPr>
        <w:t xml:space="preserve">五   </w:t>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Pr>
          <w:rFonts w:ascii="Times New Roman" w:hAnsi="Times New Roman" w:eastAsia="宋体"/>
          <w:sz w:val="28"/>
        </w:rPr>
        <w:t xml:space="preserve">评审</w:t>
      </w:r>
      <w:r/>
    </w:p>
    <w:p>
      <w:pPr>
        <w:numPr>
          <w:ilvl w:val="0"/>
          <w:numId w:val="8"/>
        </w:numPr>
        <w:ind w:left="357" w:hanging="357"/>
        <w:spacing w:line="360" w:lineRule="auto"/>
        <w:tabs>
          <w:tab w:val="left" w:pos="360" w:leader="none"/>
        </w:tabs>
        <w:rPr>
          <w:sz w:val="24"/>
        </w:rPr>
        <w:outlineLvl w:val="1"/>
      </w:pPr>
      <w:r>
        <w:rPr>
          <w:sz w:val="24"/>
        </w:rPr>
        <w:t xml:space="preserve">响应文件的</w:t>
      </w:r>
      <w:r>
        <w:rPr>
          <w:rFonts w:hint="eastAsia"/>
          <w:sz w:val="24"/>
        </w:rPr>
        <w:t xml:space="preserve">解密与</w:t>
      </w:r>
      <w:r>
        <w:rPr>
          <w:sz w:val="24"/>
        </w:rPr>
        <w:t xml:space="preserve">开启</w:t>
      </w:r>
      <w:r/>
    </w:p>
    <w:p>
      <w:pPr>
        <w:numPr>
          <w:ilvl w:val="1"/>
          <w:numId w:val="8"/>
        </w:numPr>
        <w:ind w:left="1077" w:hanging="720"/>
        <w:spacing w:line="360" w:lineRule="auto"/>
        <w:tabs>
          <w:tab w:val="left" w:pos="1080" w:leader="none"/>
          <w:tab w:val="left" w:pos="2014" w:leader="none"/>
        </w:tabs>
        <w:rPr>
          <w:sz w:val="24"/>
        </w:rPr>
      </w:pPr>
      <w:r>
        <w:rPr>
          <w:sz w:val="24"/>
        </w:rPr>
        <w:t xml:space="preserve">采购人或采购代理机构将按竞争性磋商文件的规定，在响应文件提交截止时间的同一时间和竞争性磋商文件预先确定的地点开启响应文件。</w:t>
      </w:r>
      <w:r/>
    </w:p>
    <w:p>
      <w:pPr>
        <w:numPr>
          <w:ilvl w:val="1"/>
          <w:numId w:val="8"/>
        </w:numPr>
        <w:ind w:left="1077" w:hanging="720"/>
        <w:spacing w:line="360" w:lineRule="auto"/>
        <w:tabs>
          <w:tab w:val="left" w:pos="1080" w:leader="none"/>
          <w:tab w:val="left" w:pos="2014" w:leader="none"/>
        </w:tabs>
        <w:rPr>
          <w:sz w:val="24"/>
        </w:rPr>
      </w:pPr>
      <w:r>
        <w:rPr>
          <w:rFonts w:hint="eastAsia"/>
          <w:sz w:val="24"/>
        </w:rPr>
        <w:t xml:space="preserve">本项目采用不见面招交易模式，使用“苏采云”在线进行解密。供应商应在规定的时间内对响应文件进行解密，因非系统原因导致的解密失败，视为响应无效</w:t>
      </w:r>
      <w:r>
        <w:rPr>
          <w:sz w:val="24"/>
        </w:rPr>
        <w:t xml:space="preserve">。</w:t>
      </w:r>
      <w:r/>
    </w:p>
    <w:p>
      <w:pPr>
        <w:numPr>
          <w:ilvl w:val="1"/>
          <w:numId w:val="8"/>
        </w:numPr>
        <w:ind w:left="1077" w:hanging="720"/>
        <w:spacing w:line="360" w:lineRule="auto"/>
        <w:tabs>
          <w:tab w:val="left" w:pos="1080" w:leader="none"/>
          <w:tab w:val="left" w:pos="2014" w:leader="none"/>
        </w:tabs>
        <w:rPr>
          <w:sz w:val="24"/>
        </w:rPr>
      </w:pPr>
      <w:r>
        <w:rPr>
          <w:sz w:val="24"/>
        </w:rPr>
        <w:t xml:space="preserve">供应商不足3家的，不予解密。</w:t>
      </w:r>
      <w:r/>
    </w:p>
    <w:p>
      <w:pPr>
        <w:numPr>
          <w:ilvl w:val="1"/>
          <w:numId w:val="8"/>
        </w:numPr>
        <w:ind w:left="1077" w:hanging="720"/>
        <w:spacing w:line="360" w:lineRule="auto"/>
        <w:tabs>
          <w:tab w:val="left" w:pos="1080" w:leader="none"/>
          <w:tab w:val="left" w:pos="2014" w:leader="none"/>
        </w:tabs>
        <w:rPr>
          <w:rFonts w:hint="eastAsia"/>
          <w:sz w:val="24"/>
        </w:rPr>
      </w:pPr>
      <w:r/>
      <w:bookmarkStart w:id="454" w:name="_Toc520356165"/>
      <w:r>
        <w:rPr>
          <w:sz w:val="24"/>
        </w:rPr>
        <w:t xml:space="preserve">本项目不公开报价。</w:t>
      </w:r>
      <w:r/>
    </w:p>
    <w:p>
      <w:pPr>
        <w:numPr>
          <w:ilvl w:val="1"/>
          <w:numId w:val="8"/>
        </w:numPr>
        <w:ind w:left="1077" w:hanging="720"/>
        <w:spacing w:line="360" w:lineRule="auto"/>
        <w:tabs>
          <w:tab w:val="left" w:pos="1080" w:leader="none"/>
          <w:tab w:val="left" w:pos="2014" w:leader="none"/>
        </w:tabs>
        <w:rPr>
          <w:sz w:val="24"/>
        </w:rPr>
      </w:pPr>
      <w:r>
        <w:rPr>
          <w:sz w:val="24"/>
        </w:rPr>
        <w:t xml:space="preserve">供应商须在开标前使用“验证CA”功能验证本地计算机的控件环境是否正常，并且在</w:t>
      </w:r>
      <w:r>
        <w:rPr>
          <w:rFonts w:hint="eastAsia"/>
          <w:sz w:val="24"/>
        </w:rPr>
        <w:t xml:space="preserve">解密、评审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，必须使用验证成功的计算机进行操作，否则造成相应后果由供应商自行承担。本地计算机</w:t>
      </w:r>
      <w:r>
        <w:rPr>
          <w:rFonts w:hint="eastAsia"/>
          <w:sz w:val="24"/>
        </w:rPr>
        <w:t xml:space="preserve">要求安装摄像头、麦克风和音箱，保持网络通畅。</w:t>
      </w:r>
      <w:r/>
    </w:p>
    <w:p>
      <w:pPr>
        <w:numPr>
          <w:ilvl w:val="1"/>
          <w:numId w:val="8"/>
        </w:numPr>
        <w:ind w:left="1077" w:hanging="720"/>
        <w:spacing w:line="360" w:lineRule="auto"/>
        <w:tabs>
          <w:tab w:val="left" w:pos="1080" w:leader="none"/>
          <w:tab w:val="left" w:pos="2014" w:leader="none"/>
        </w:tabs>
        <w:rPr>
          <w:rFonts w:hint="eastAsia"/>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解密、评审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值守，及时对于系统或者磋商小组发出的指令和要求进行响应操作。如果因为无人值守造成不能及时回应系统或者磋商小组指令和要求从而导致影响开标、评审结果的，责任由供应商承担</w:t>
      </w:r>
      <w:r>
        <w:rPr>
          <w:sz w:val="24"/>
        </w:rPr>
        <w:t xml:space="preserve">。</w:t>
      </w:r>
      <w:r/>
    </w:p>
    <w:p>
      <w:pPr>
        <w:numPr>
          <w:ilvl w:val="1"/>
          <w:numId w:val="8"/>
        </w:numPr>
        <w:ind w:left="1077" w:hanging="720"/>
        <w:spacing w:line="360" w:lineRule="auto"/>
        <w:tabs>
          <w:tab w:val="left" w:pos="1080" w:leader="none"/>
          <w:tab w:val="left" w:pos="2014" w:leader="none"/>
        </w:tabs>
        <w:rPr>
          <w:sz w:val="24"/>
        </w:rPr>
      </w:pPr>
      <w:r>
        <w:rPr>
          <w:rFonts w:hint="eastAsia"/>
          <w:sz w:val="24"/>
        </w:rPr>
        <w:t xml:space="preserve">如果在采购活动过程中出现以下情形，导致“苏采云”系统无法正常运行，或者无法保证本项目采购活动的公平、公正和安全时，代理机构可以延缓或者暂停采购活动，情况严重的可以终止采购活动</w:t>
      </w:r>
      <w:r>
        <w:rPr>
          <w:sz w:val="24"/>
        </w:rPr>
        <w:t xml:space="preserve">：</w:t>
      </w:r>
      <w:r>
        <w:rPr>
          <w:sz w:val="24"/>
        </w:rPr>
        <w:br w:type="textWrapping" w:clear="all"/>
      </w: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p>
    <w:p>
      <w:pPr>
        <w:ind w:left="357" w:firstLine="840"/>
        <w:spacing w:line="360" w:lineRule="auto"/>
        <w:tabs>
          <w:tab w:val="left" w:pos="1080" w:leader="none"/>
          <w:tab w:val="left" w:pos="1589" w:leader="none"/>
          <w:tab w:val="left" w:pos="2014" w:leader="none"/>
        </w:tabs>
        <w:rPr>
          <w:rFonts w:hint="eastAsia"/>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p>
    <w:p>
      <w:pPr>
        <w:ind w:firstLine="480"/>
        <w:spacing w:line="360" w:lineRule="auto"/>
        <w:tabs>
          <w:tab w:val="left" w:pos="993"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bookmarkEnd w:id="454"/>
      <w:r/>
      <w:r/>
    </w:p>
    <w:p>
      <w:pPr>
        <w:numPr>
          <w:ilvl w:val="0"/>
          <w:numId w:val="8"/>
        </w:numPr>
        <w:ind w:left="357" w:hanging="357"/>
        <w:spacing w:line="360" w:lineRule="auto"/>
        <w:tabs>
          <w:tab w:val="left" w:pos="360" w:leader="none"/>
        </w:tabs>
        <w:rPr>
          <w:sz w:val="24"/>
        </w:rPr>
        <w:outlineLvl w:val="1"/>
      </w:pPr>
      <w:r>
        <w:rPr>
          <w:sz w:val="24"/>
        </w:rPr>
        <w:t xml:space="preserve">磋商小组</w:t>
      </w:r>
      <w:r/>
    </w:p>
    <w:p>
      <w:pPr>
        <w:numPr>
          <w:ilvl w:val="1"/>
          <w:numId w:val="8"/>
        </w:numPr>
        <w:ind w:left="1077" w:hanging="720"/>
        <w:spacing w:line="360" w:lineRule="auto"/>
        <w:tabs>
          <w:tab w:val="left" w:pos="1080" w:leader="none"/>
          <w:tab w:val="left" w:pos="2014" w:leader="none"/>
        </w:tabs>
        <w:rPr>
          <w:sz w:val="24"/>
        </w:rPr>
      </w:pPr>
      <w:r>
        <w:rPr>
          <w:sz w:val="24"/>
        </w:rPr>
        <w:t xml:space="preserve">磋商小组根据政府采购有关规定和本次采购项目的特点进行组建，并负责具体评审事务，独立履行职责。</w:t>
      </w:r>
      <w:bookmarkStart w:id="455" w:name="_Toc520356166"/>
      <w:r/>
      <w:r/>
    </w:p>
    <w:p>
      <w:pPr>
        <w:numPr>
          <w:ilvl w:val="1"/>
          <w:numId w:val="8"/>
        </w:numPr>
        <w:ind w:left="1077" w:hanging="720"/>
        <w:spacing w:line="360" w:lineRule="auto"/>
        <w:tabs>
          <w:tab w:val="left" w:pos="1080"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455"/>
      <w:r/>
      <w:bookmarkStart w:id="456" w:name="_Toc520356169"/>
      <w:r/>
      <w:r/>
    </w:p>
    <w:p>
      <w:pPr>
        <w:numPr>
          <w:ilvl w:val="0"/>
          <w:numId w:val="8"/>
        </w:numPr>
        <w:spacing w:line="360" w:lineRule="auto"/>
        <w:tabs>
          <w:tab w:val="left" w:pos="360" w:leader="none"/>
        </w:tabs>
        <w:rPr>
          <w:sz w:val="24"/>
        </w:rPr>
        <w:outlineLvl w:val="1"/>
      </w:pPr>
      <w:r>
        <w:rPr>
          <w:sz w:val="24"/>
        </w:rPr>
        <w:t xml:space="preserve">评审方法和评审标准</w:t>
      </w:r>
      <w:r/>
    </w:p>
    <w:p>
      <w:pPr>
        <w:numPr>
          <w:ilvl w:val="1"/>
          <w:numId w:val="8"/>
        </w:numPr>
        <w:ind w:left="1077" w:hanging="720"/>
        <w:spacing w:line="360" w:lineRule="auto"/>
        <w:tabs>
          <w:tab w:val="left" w:pos="1080" w:leader="none"/>
          <w:tab w:val="left" w:pos="2014" w:leader="none"/>
        </w:tabs>
        <w:rPr>
          <w:sz w:val="24"/>
        </w:rPr>
      </w:pPr>
      <w:r>
        <w:rPr>
          <w:sz w:val="24"/>
        </w:rPr>
        <w:t xml:space="preserve">见第三章《评审方法和评审标准》。</w:t>
      </w:r>
      <w:r/>
    </w:p>
    <w:p>
      <w:pPr>
        <w:ind w:left="1080"/>
        <w:spacing w:line="360" w:lineRule="auto"/>
        <w:tabs>
          <w:tab w:val="left" w:pos="360" w:leader="none"/>
          <w:tab w:val="left" w:pos="1080" w:leader="none"/>
        </w:tabs>
        <w:rPr>
          <w:sz w:val="24"/>
        </w:rPr>
      </w:pPr>
      <w:r>
        <w:rPr>
          <w:sz w:val="24"/>
        </w:rPr>
      </w:r>
      <w:r/>
    </w:p>
    <w:p>
      <w:pPr>
        <w:pStyle w:val="1033"/>
        <w:spacing w:before="0" w:line="360" w:lineRule="auto"/>
        <w:rPr>
          <w:rFonts w:ascii="Times New Roman" w:hAnsi="Times New Roman" w:eastAsia="宋体"/>
          <w:sz w:val="28"/>
        </w:rPr>
      </w:pPr>
      <w:r/>
      <w:bookmarkStart w:id="457" w:name="_Toc142311047"/>
      <w:r/>
      <w:bookmarkStart w:id="458" w:name="_Toc305158887"/>
      <w:r/>
      <w:bookmarkStart w:id="459" w:name="_Toc305158813"/>
      <w:r/>
      <w:bookmarkStart w:id="460" w:name="_Toc127151545"/>
      <w:r/>
      <w:bookmarkStart w:id="461" w:name="_Toc151190172"/>
      <w:r/>
      <w:bookmarkStart w:id="462" w:name="_Toc151193787"/>
      <w:r/>
      <w:bookmarkStart w:id="463" w:name="_Toc150774750"/>
      <w:r/>
      <w:bookmarkStart w:id="464" w:name="_Toc265228383"/>
      <w:r/>
      <w:bookmarkStart w:id="465" w:name="_Toc226337241"/>
      <w:r/>
      <w:bookmarkStart w:id="466" w:name="_Toc150509296"/>
      <w:r/>
      <w:bookmarkStart w:id="467" w:name="_Toc226965735"/>
      <w:r/>
      <w:bookmarkStart w:id="468" w:name="_Toc226965818"/>
      <w:r/>
      <w:bookmarkStart w:id="469" w:name="_Toc151193715"/>
      <w:r/>
      <w:bookmarkStart w:id="470" w:name="_Toc151193643"/>
      <w:r/>
      <w:bookmarkStart w:id="471" w:name="_Toc195842910"/>
      <w:r/>
      <w:bookmarkStart w:id="472" w:name="_Toc151193933"/>
      <w:r/>
      <w:bookmarkStart w:id="473" w:name="_Toc150774645"/>
      <w:r/>
      <w:bookmarkStart w:id="474" w:name="_Toc151193859"/>
      <w:r/>
      <w:bookmarkStart w:id="475" w:name="_Toc150480783"/>
      <w:r/>
      <w:bookmarkStart w:id="476" w:name="_Toc264969235"/>
      <w:r/>
      <w:bookmarkStart w:id="477" w:name="_Toc226309789"/>
      <w:r>
        <w:rPr>
          <w:rFonts w:ascii="Times New Roman" w:hAnsi="Times New Roman" w:eastAsia="宋体"/>
          <w:sz w:val="28"/>
        </w:rPr>
        <w:t xml:space="preserve">六   </w:t>
      </w:r>
      <w:bookmarkEnd w:id="456"/>
      <w:r>
        <w:rPr>
          <w:rFonts w:ascii="Times New Roman" w:hAnsi="Times New Roman" w:eastAsia="宋体"/>
          <w:sz w:val="28"/>
        </w:rPr>
        <w:t xml:space="preserve">确定</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Pr>
          <w:rFonts w:ascii="Times New Roman" w:hAnsi="Times New Roman" w:eastAsia="宋体"/>
          <w:sz w:val="28"/>
        </w:rPr>
        <w:t xml:space="preserve">成交</w:t>
      </w:r>
      <w:r/>
    </w:p>
    <w:p>
      <w:pPr>
        <w:numPr>
          <w:ilvl w:val="0"/>
          <w:numId w:val="8"/>
        </w:numPr>
        <w:ind w:left="357" w:hanging="357"/>
        <w:spacing w:line="360" w:lineRule="auto"/>
        <w:tabs>
          <w:tab w:val="left" w:pos="360" w:leader="none"/>
        </w:tabs>
        <w:rPr>
          <w:sz w:val="24"/>
        </w:rPr>
        <w:outlineLvl w:val="1"/>
      </w:pPr>
      <w:r/>
      <w:bookmarkStart w:id="478" w:name="_Toc195842912"/>
      <w:r/>
      <w:bookmarkStart w:id="479" w:name="_Toc150774647"/>
      <w:r/>
      <w:bookmarkStart w:id="480" w:name="_Toc151193935"/>
      <w:r/>
      <w:bookmarkStart w:id="481" w:name="_Toc164608816"/>
      <w:r/>
      <w:bookmarkStart w:id="482" w:name="_Toc142311049"/>
      <w:r/>
      <w:bookmarkStart w:id="483" w:name="_Toc150774752"/>
      <w:r/>
      <w:bookmarkStart w:id="484" w:name="_Toc151193717"/>
      <w:r/>
      <w:bookmarkStart w:id="485" w:name="_Toc164229388"/>
      <w:r/>
      <w:bookmarkStart w:id="486" w:name="_Toc151193789"/>
      <w:r/>
      <w:bookmarkStart w:id="487" w:name="_Toc127151748"/>
      <w:r/>
      <w:bookmarkStart w:id="488" w:name="_Toc226965820"/>
      <w:r/>
      <w:bookmarkStart w:id="489" w:name="_Toc164351641"/>
      <w:r/>
      <w:bookmarkStart w:id="490" w:name="_Toc226309791"/>
      <w:r/>
      <w:bookmarkStart w:id="491" w:name="_Toc149720840"/>
      <w:r/>
      <w:bookmarkStart w:id="492" w:name="_Toc150480785"/>
      <w:r/>
      <w:bookmarkStart w:id="493" w:name="_Toc164229242"/>
      <w:r/>
      <w:bookmarkStart w:id="494" w:name="_Toc226337243"/>
      <w:r/>
      <w:bookmarkStart w:id="495" w:name="_Toc264969237"/>
      <w:r/>
      <w:bookmarkStart w:id="496" w:name="_Toc226965737"/>
      <w:r/>
      <w:bookmarkStart w:id="497" w:name="_Toc305158815"/>
      <w:r/>
      <w:bookmarkStart w:id="498" w:name="_Toc127161461"/>
      <w:r/>
      <w:bookmarkStart w:id="499" w:name="_Toc150509298"/>
      <w:r/>
      <w:bookmarkStart w:id="500" w:name="_Toc151193645"/>
      <w:r/>
      <w:bookmarkStart w:id="501" w:name="_Toc265228385"/>
      <w:r/>
      <w:bookmarkStart w:id="502" w:name="_Toc151190174"/>
      <w:r/>
      <w:bookmarkStart w:id="503" w:name="_Toc305158889"/>
      <w:r/>
      <w:bookmarkStart w:id="504" w:name="_Toc127151547"/>
      <w:r/>
      <w:bookmarkStart w:id="505" w:name="_Toc151193861"/>
      <w:r/>
      <w:bookmarkStart w:id="506" w:name="_Toc164608661"/>
      <w:r>
        <w:rPr>
          <w:sz w:val="24"/>
        </w:rPr>
        <w:t xml:space="preserve">确定成交供应商</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
    </w:p>
    <w:p>
      <w:pPr>
        <w:numPr>
          <w:ilvl w:val="1"/>
          <w:numId w:val="8"/>
        </w:numPr>
        <w:ind w:left="1077" w:hanging="720"/>
        <w:spacing w:line="360" w:lineRule="auto"/>
        <w:tabs>
          <w:tab w:val="left" w:pos="1080" w:leader="none"/>
          <w:tab w:val="left" w:pos="2014" w:leader="none"/>
        </w:tabs>
        <w:rPr>
          <w:sz w:val="24"/>
        </w:rPr>
      </w:pPr>
      <w:r>
        <w:rPr>
          <w:sz w:val="24"/>
        </w:rPr>
        <w:t xml:space="preserve">采购人将在收到评审报告后，从评审报告提出的成交候选供应商中，按照排序由高到低的原则确定成交供应商</w:t>
      </w:r>
      <w:r>
        <w:rPr>
          <w:rFonts w:hint="eastAsia"/>
          <w:sz w:val="24"/>
        </w:rPr>
        <w:t xml:space="preserve">。</w:t>
      </w:r>
      <w:r>
        <w:rPr>
          <w:sz w:val="24"/>
        </w:rPr>
        <w:t xml:space="preserve">成交候选人并列的，由采购人</w:t>
      </w:r>
      <w:r>
        <w:rPr>
          <w:rFonts w:hint="eastAsia"/>
          <w:sz w:val="24"/>
        </w:rPr>
        <w:t xml:space="preserve">依法</w:t>
      </w:r>
      <w:r>
        <w:rPr>
          <w:sz w:val="24"/>
        </w:rPr>
        <w:t xml:space="preserve">确定。</w:t>
      </w:r>
      <w:r/>
    </w:p>
    <w:p>
      <w:pPr>
        <w:numPr>
          <w:ilvl w:val="0"/>
          <w:numId w:val="8"/>
        </w:numPr>
        <w:ind w:left="357" w:hanging="357"/>
        <w:spacing w:line="360" w:lineRule="auto"/>
        <w:tabs>
          <w:tab w:val="left" w:pos="360" w:leader="none"/>
        </w:tabs>
        <w:rPr>
          <w:sz w:val="24"/>
        </w:rPr>
        <w:outlineLvl w:val="1"/>
      </w:pPr>
      <w:r/>
      <w:bookmarkStart w:id="507" w:name="_Toc305158891"/>
      <w:r/>
      <w:bookmarkStart w:id="508" w:name="_Toc305158817"/>
      <w:r/>
      <w:bookmarkStart w:id="509" w:name="_Toc150480787"/>
      <w:r/>
      <w:bookmarkStart w:id="510" w:name="_Toc151190176"/>
      <w:r/>
      <w:bookmarkStart w:id="511" w:name="_Toc226309793"/>
      <w:r/>
      <w:bookmarkStart w:id="512" w:name="_Toc150774754"/>
      <w:r/>
      <w:bookmarkStart w:id="513" w:name="_Toc164229244"/>
      <w:r/>
      <w:bookmarkStart w:id="514" w:name="_Toc226337245"/>
      <w:r/>
      <w:bookmarkStart w:id="515" w:name="_Toc195842914"/>
      <w:r/>
      <w:bookmarkStart w:id="516" w:name="_Toc151193863"/>
      <w:r/>
      <w:bookmarkStart w:id="517" w:name="_Toc151193647"/>
      <w:r/>
      <w:bookmarkStart w:id="518" w:name="_Toc226965822"/>
      <w:r/>
      <w:bookmarkStart w:id="519" w:name="_Toc150509300"/>
      <w:r/>
      <w:bookmarkStart w:id="520" w:name="_Toc265228387"/>
      <w:r/>
      <w:bookmarkStart w:id="521" w:name="_Toc127151549"/>
      <w:r/>
      <w:bookmarkStart w:id="522" w:name="_Toc127161463"/>
      <w:r/>
      <w:bookmarkStart w:id="523" w:name="_Toc150774649"/>
      <w:r/>
      <w:bookmarkStart w:id="524" w:name="_Toc164229390"/>
      <w:r/>
      <w:bookmarkStart w:id="525" w:name="_Toc142311051"/>
      <w:r/>
      <w:bookmarkStart w:id="526" w:name="_Toc164608663"/>
      <w:r/>
      <w:bookmarkStart w:id="527" w:name="_Toc151193937"/>
      <w:r/>
      <w:bookmarkStart w:id="528" w:name="_Toc151193791"/>
      <w:r/>
      <w:bookmarkStart w:id="529" w:name="_Toc226965739"/>
      <w:r/>
      <w:bookmarkStart w:id="530" w:name="_Toc164608818"/>
      <w:r/>
      <w:bookmarkStart w:id="531" w:name="_Toc164351643"/>
      <w:r/>
      <w:bookmarkStart w:id="532" w:name="_Toc151193719"/>
      <w:r/>
      <w:bookmarkStart w:id="533" w:name="_Toc264969239"/>
      <w:r/>
      <w:bookmarkStart w:id="534" w:name="_Toc149720842"/>
      <w:r/>
      <w:bookmarkStart w:id="535" w:name="_Toc127151750"/>
      <w:r/>
      <w:bookmarkStart w:id="536" w:name="_Ref467306425"/>
      <w:r/>
      <w:bookmarkStart w:id="537" w:name="_Toc520356176"/>
      <w:r/>
      <w:bookmarkStart w:id="538" w:name="_Ref467307090"/>
      <w:r>
        <w:rPr>
          <w:sz w:val="24"/>
        </w:rPr>
        <w:t xml:space="preserve">成交公告与成交通知书</w:t>
      </w:r>
      <w:bookmarkEnd w:id="507"/>
      <w:r/>
      <w:bookmarkEnd w:id="508"/>
      <w:r/>
      <w:r/>
    </w:p>
    <w:p>
      <w:pPr>
        <w:numPr>
          <w:ilvl w:val="1"/>
          <w:numId w:val="8"/>
        </w:numPr>
        <w:ind w:left="1077" w:hanging="720"/>
        <w:spacing w:line="360" w:lineRule="auto"/>
        <w:tabs>
          <w:tab w:val="left" w:pos="1080" w:leader="none"/>
          <w:tab w:val="left" w:pos="2014" w:leader="none"/>
        </w:tabs>
        <w:rPr>
          <w:sz w:val="24"/>
        </w:rPr>
      </w:pPr>
      <w:r>
        <w:rPr>
          <w:sz w:val="24"/>
        </w:rPr>
        <w:t xml:space="preserve">采购人或采购代理机构将在成交供应商确定后2个工作日内，在</w:t>
      </w:r>
      <w:r>
        <w:rPr>
          <w:rFonts w:hint="eastAsia"/>
          <w:sz w:val="24"/>
        </w:rPr>
        <w:t xml:space="preserve">常州市政府采购网</w:t>
      </w:r>
      <w:r>
        <w:rPr>
          <w:sz w:val="24"/>
        </w:rPr>
        <w:t xml:space="preserve">公告成交结果，同时向成交供应商发出成交通知书，成交公告期限为1个工作日。</w:t>
      </w:r>
      <w:r/>
    </w:p>
    <w:p>
      <w:pPr>
        <w:numPr>
          <w:ilvl w:val="1"/>
          <w:numId w:val="8"/>
        </w:numPr>
        <w:ind w:left="1080" w:hanging="720"/>
        <w:spacing w:line="360" w:lineRule="auto"/>
        <w:tabs>
          <w:tab w:val="left" w:pos="1080" w:leader="none"/>
          <w:tab w:val="left" w:pos="2014" w:leader="none"/>
        </w:tabs>
        <w:rPr>
          <w:sz w:val="24"/>
        </w:rPr>
      </w:pPr>
      <w:r>
        <w:rPr>
          <w:sz w:val="24"/>
        </w:rPr>
        <w:t xml:space="preserve">成交通知书是合同的组成部分，对采购人和成交供应商具有同等法律效力。成交通知书发出后，采购人改变成交结果的，或者成交供应商放弃成交项目的，将依法承担法律责任</w:t>
      </w:r>
      <w:r>
        <w:rPr>
          <w:rFonts w:hint="eastAsia"/>
          <w:sz w:val="24"/>
        </w:rPr>
        <w:t xml:space="preserve">。</w:t>
      </w:r>
      <w:r/>
    </w:p>
    <w:p>
      <w:pPr>
        <w:numPr>
          <w:ilvl w:val="0"/>
          <w:numId w:val="8"/>
        </w:numPr>
        <w:ind w:left="357" w:hanging="357"/>
        <w:spacing w:line="360" w:lineRule="auto"/>
        <w:tabs>
          <w:tab w:val="left" w:pos="360" w:leader="none"/>
        </w:tabs>
        <w:rPr>
          <w:sz w:val="24"/>
        </w:rPr>
        <w:outlineLvl w:val="1"/>
      </w:pPr>
      <w:r>
        <w:rPr>
          <w:sz w:val="24"/>
        </w:rPr>
        <w:t xml:space="preserve">终止</w:t>
      </w:r>
      <w:r/>
    </w:p>
    <w:p>
      <w:pPr>
        <w:numPr>
          <w:ilvl w:val="1"/>
          <w:numId w:val="8"/>
        </w:numPr>
        <w:ind w:left="1077" w:hanging="720"/>
        <w:spacing w:line="360" w:lineRule="auto"/>
        <w:tabs>
          <w:tab w:val="left" w:pos="1080" w:leader="none"/>
          <w:tab w:val="left" w:pos="2014" w:leader="none"/>
        </w:tabs>
        <w:rPr>
          <w:sz w:val="24"/>
        </w:rPr>
      </w:pPr>
      <w:r>
        <w:rPr>
          <w:sz w:val="24"/>
        </w:rPr>
        <w:t xml:space="preserve">在采购中，出现下列情形之一的，采购人或采购代理机构将终止竞争性磋商采购活动，发布项目终止公告并说明原因，重新开展采购活动：</w:t>
      </w:r>
      <w:r/>
    </w:p>
    <w:p>
      <w:pPr>
        <w:numPr>
          <w:ilvl w:val="2"/>
          <w:numId w:val="8"/>
        </w:numPr>
        <w:spacing w:line="360" w:lineRule="auto"/>
        <w:rPr>
          <w:sz w:val="24"/>
        </w:rPr>
      </w:pPr>
      <w:r>
        <w:rPr>
          <w:sz w:val="24"/>
        </w:rPr>
        <w:t xml:space="preserve">因情况变化，不再符合规定的竞争性磋商采购方式适用情形的；</w:t>
      </w:r>
      <w:r/>
    </w:p>
    <w:p>
      <w:pPr>
        <w:numPr>
          <w:ilvl w:val="2"/>
          <w:numId w:val="8"/>
        </w:numPr>
        <w:spacing w:line="360" w:lineRule="auto"/>
        <w:rPr>
          <w:sz w:val="24"/>
        </w:rPr>
      </w:pPr>
      <w:r>
        <w:rPr>
          <w:sz w:val="24"/>
        </w:rPr>
        <w:t xml:space="preserve">出现影响采购公正的违法、违规行为的；</w:t>
      </w:r>
      <w:r/>
    </w:p>
    <w:p>
      <w:pPr>
        <w:numPr>
          <w:ilvl w:val="2"/>
          <w:numId w:val="8"/>
        </w:numPr>
        <w:spacing w:line="360" w:lineRule="auto"/>
        <w:rPr>
          <w:rFonts w:hint="eastAsia"/>
          <w:sz w:val="24"/>
        </w:rPr>
      </w:pPr>
      <w:r>
        <w:rPr>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8"/>
        </w:numPr>
        <w:spacing w:line="360" w:lineRule="auto"/>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序号17.7的所述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r/>
    </w:p>
    <w:p>
      <w:pPr>
        <w:numPr>
          <w:ilvl w:val="0"/>
          <w:numId w:val="8"/>
        </w:numPr>
        <w:ind w:left="357" w:hanging="357"/>
        <w:spacing w:line="360" w:lineRule="auto"/>
        <w:tabs>
          <w:tab w:val="left" w:pos="360" w:leader="none"/>
        </w:tabs>
        <w:rPr>
          <w:sz w:val="24"/>
        </w:rPr>
        <w:outlineLvl w:val="1"/>
      </w:pPr>
      <w:r/>
      <w:bookmarkStart w:id="539" w:name="_Toc127151550"/>
      <w:r/>
      <w:bookmarkStart w:id="540" w:name="_Toc142311052"/>
      <w:r/>
      <w:bookmarkStart w:id="541" w:name="_Toc151190177"/>
      <w:r/>
      <w:bookmarkStart w:id="542" w:name="_Toc195842915"/>
      <w:r/>
      <w:bookmarkStart w:id="543" w:name="_Toc305158818"/>
      <w:r/>
      <w:bookmarkStart w:id="544" w:name="_Toc151193792"/>
      <w:r/>
      <w:bookmarkStart w:id="545" w:name="_Toc164351644"/>
      <w:r/>
      <w:bookmarkStart w:id="546" w:name="_Toc151193648"/>
      <w:r/>
      <w:bookmarkStart w:id="547" w:name="_Toc265228388"/>
      <w:r/>
      <w:bookmarkStart w:id="548" w:name="_Toc150509301"/>
      <w:r/>
      <w:bookmarkStart w:id="549" w:name="_Toc127151751"/>
      <w:r/>
      <w:bookmarkStart w:id="550" w:name="_Toc151193938"/>
      <w:r/>
      <w:bookmarkStart w:id="551" w:name="_Toc127161464"/>
      <w:r/>
      <w:bookmarkStart w:id="552" w:name="_Toc226965740"/>
      <w:r/>
      <w:bookmarkStart w:id="553" w:name="_Toc226337246"/>
      <w:r/>
      <w:bookmarkStart w:id="554" w:name="_Toc226965823"/>
      <w:r/>
      <w:bookmarkStart w:id="555" w:name="_Toc264969240"/>
      <w:r/>
      <w:bookmarkStart w:id="556" w:name="_Toc305158892"/>
      <w:r/>
      <w:bookmarkStart w:id="557" w:name="_Toc151193720"/>
      <w:r/>
      <w:bookmarkStart w:id="558" w:name="_Toc150774755"/>
      <w:r/>
      <w:bookmarkStart w:id="559" w:name="_Toc164608819"/>
      <w:r/>
      <w:bookmarkStart w:id="560" w:name="_Toc151193864"/>
      <w:r/>
      <w:bookmarkStart w:id="561" w:name="_Toc149720843"/>
      <w:r/>
      <w:bookmarkStart w:id="562" w:name="_Toc164229245"/>
      <w:r/>
      <w:bookmarkStart w:id="563" w:name="_Ref467307062"/>
      <w:r/>
      <w:bookmarkStart w:id="564" w:name="_Toc164608664"/>
      <w:r/>
      <w:bookmarkStart w:id="565" w:name="_Ref467306978"/>
      <w:r/>
      <w:bookmarkStart w:id="566" w:name="_Toc226309794"/>
      <w:r/>
      <w:bookmarkStart w:id="567" w:name="_Toc150480788"/>
      <w:r/>
      <w:bookmarkStart w:id="568" w:name="_Toc164229391"/>
      <w:r/>
      <w:bookmarkStart w:id="569" w:name="_Toc150774650"/>
      <w:r/>
      <w:bookmarkStart w:id="570" w:name="_Ref467306377"/>
      <w:r/>
      <w:bookmarkStart w:id="571" w:name="_Toc520356175"/>
      <w:r/>
      <w:bookmarkStart w:id="572" w:name="_Ref467307204"/>
      <w:r>
        <w:rPr>
          <w:sz w:val="24"/>
        </w:rPr>
        <w:t xml:space="preserve">签订合同</w:t>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r/>
    </w:p>
    <w:p>
      <w:pPr>
        <w:numPr>
          <w:ilvl w:val="1"/>
          <w:numId w:val="8"/>
        </w:numPr>
        <w:ind w:left="1077" w:hanging="720"/>
        <w:spacing w:line="360" w:lineRule="auto"/>
        <w:tabs>
          <w:tab w:val="left" w:pos="1080" w:leader="none"/>
          <w:tab w:val="left" w:pos="2014" w:leader="none"/>
        </w:tabs>
        <w:rPr>
          <w:sz w:val="24"/>
        </w:rPr>
      </w:pPr>
      <w:r>
        <w:rPr>
          <w:sz w:val="24"/>
        </w:rPr>
        <w:t xml:space="preserve">采购人与成交供应商将在成交通知书发出之日起30日内，按照磋商文件确定的合同文本以及采购标的、规格型号、采购金额、采购数量、技术和服务要求等事项签订政府采购合同。</w:t>
      </w:r>
      <w:r/>
    </w:p>
    <w:p>
      <w:pPr>
        <w:numPr>
          <w:ilvl w:val="1"/>
          <w:numId w:val="8"/>
        </w:numPr>
        <w:ind w:left="1077" w:hanging="720"/>
        <w:spacing w:line="360" w:lineRule="auto"/>
        <w:tabs>
          <w:tab w:val="left" w:pos="1080" w:leader="none"/>
          <w:tab w:val="left" w:pos="2014" w:leader="none"/>
        </w:tabs>
        <w:rPr>
          <w:sz w:val="24"/>
        </w:rPr>
      </w:pPr>
      <w:r>
        <w:rPr>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8"/>
        </w:numPr>
        <w:ind w:left="1077" w:hanging="720"/>
        <w:spacing w:line="360" w:lineRule="auto"/>
        <w:tabs>
          <w:tab w:val="left" w:pos="1080" w:leader="none"/>
          <w:tab w:val="left" w:pos="2014" w:leader="none"/>
        </w:tabs>
        <w:rPr>
          <w:sz w:val="24"/>
        </w:rPr>
      </w:pPr>
      <w:r>
        <w:rPr>
          <w:sz w:val="24"/>
        </w:rPr>
        <w:t xml:space="preserve">联合体获得成交资格的，联合体各方应当共同与采购人签订合同，就成交项目向采购人承担连带责任。</w:t>
      </w:r>
      <w:r/>
    </w:p>
    <w:p>
      <w:pPr>
        <w:numPr>
          <w:ilvl w:val="1"/>
          <w:numId w:val="8"/>
        </w:numPr>
        <w:ind w:left="1077" w:hanging="720"/>
        <w:spacing w:line="360" w:lineRule="auto"/>
        <w:tabs>
          <w:tab w:val="left" w:pos="1080" w:leader="none"/>
          <w:tab w:val="left" w:pos="2014" w:leader="none"/>
        </w:tabs>
        <w:rPr>
          <w:sz w:val="24"/>
        </w:rPr>
      </w:pPr>
      <w:r>
        <w:rPr>
          <w:sz w:val="24"/>
        </w:rPr>
        <w:t xml:space="preserve">政府采购合同不能转包。</w:t>
      </w:r>
      <w:r/>
    </w:p>
    <w:p>
      <w:pPr>
        <w:numPr>
          <w:ilvl w:val="1"/>
          <w:numId w:val="8"/>
        </w:numPr>
        <w:ind w:left="1077" w:hanging="720"/>
        <w:spacing w:line="360" w:lineRule="auto"/>
        <w:tabs>
          <w:tab w:val="left" w:pos="1080" w:leader="none"/>
          <w:tab w:val="left" w:pos="2014" w:leader="none"/>
        </w:tabs>
        <w:rPr>
          <w:sz w:val="24"/>
        </w:rPr>
      </w:pPr>
      <w:r>
        <w:rPr>
          <w:sz w:val="24"/>
        </w:rPr>
        <w:t xml:space="preserve">采购人允许采用分包方式履行合同的，成交供应商可以依法采取分包方式履行合同。本项目</w:t>
      </w:r>
      <w:r>
        <w:rPr>
          <w:rFonts w:hint="eastAsia"/>
          <w:sz w:val="24"/>
        </w:rPr>
        <w:t xml:space="preserve">是</w:t>
      </w:r>
      <w:r>
        <w:rPr>
          <w:sz w:val="24"/>
        </w:rPr>
        <w:t xml:space="preserve">否允许分包，见《供应商须知资料表》。政府采购合同分包履行的，应当在响应文件中载明分包承担主体，分包承担主体应当具备相应资质条件且不得再次分包，</w:t>
      </w:r>
      <w:r>
        <w:rPr>
          <w:b/>
          <w:sz w:val="24"/>
        </w:rPr>
        <w:t xml:space="preserve">否则响应无效</w:t>
      </w:r>
      <w:r>
        <w:rPr>
          <w:sz w:val="24"/>
        </w:rPr>
        <w:t xml:space="preserve">。成交供应商就采购项目和分包项目向采购人负责，分包供应商就分包项目承担责任。</w:t>
      </w:r>
      <w:bookmarkEnd w:id="536"/>
      <w:r/>
      <w:bookmarkEnd w:id="537"/>
      <w:r/>
      <w:bookmarkEnd w:id="538"/>
      <w:r/>
      <w:r/>
    </w:p>
    <w:p>
      <w:pPr>
        <w:numPr>
          <w:ilvl w:val="0"/>
          <w:numId w:val="8"/>
        </w:numPr>
        <w:ind w:left="357" w:hanging="357"/>
        <w:spacing w:line="360" w:lineRule="auto"/>
        <w:tabs>
          <w:tab w:val="left" w:pos="360" w:leader="none"/>
        </w:tabs>
        <w:rPr>
          <w:sz w:val="24"/>
        </w:rPr>
        <w:outlineLvl w:val="1"/>
      </w:pPr>
      <w:r>
        <w:rPr>
          <w:sz w:val="24"/>
        </w:rPr>
        <w:t xml:space="preserve">询问与质疑</w:t>
      </w:r>
      <w:r/>
    </w:p>
    <w:p>
      <w:pPr>
        <w:numPr>
          <w:ilvl w:val="1"/>
          <w:numId w:val="8"/>
        </w:numPr>
        <w:ind w:left="1077" w:hanging="720"/>
        <w:spacing w:line="360" w:lineRule="auto"/>
        <w:tabs>
          <w:tab w:val="left" w:pos="1080" w:leader="none"/>
          <w:tab w:val="left" w:pos="2014" w:leader="none"/>
        </w:tabs>
        <w:rPr>
          <w:sz w:val="24"/>
        </w:rPr>
      </w:pPr>
      <w:r>
        <w:rPr>
          <w:sz w:val="24"/>
        </w:rPr>
        <w:t xml:space="preserve">询问</w:t>
      </w:r>
      <w:r/>
    </w:p>
    <w:p>
      <w:pPr>
        <w:numPr>
          <w:ilvl w:val="2"/>
          <w:numId w:val="8"/>
        </w:numPr>
        <w:spacing w:line="360" w:lineRule="auto"/>
        <w:rPr>
          <w:sz w:val="24"/>
        </w:rPr>
      </w:pPr>
      <w:r>
        <w:rPr>
          <w:sz w:val="24"/>
        </w:rPr>
        <w:t xml:space="preserve">供应商对政府采购活动事项有疑问的，可依法提出询问，并按《供应商须知资料表》载明的形式送达采购人或采购代理机构。</w:t>
      </w:r>
      <w:r/>
    </w:p>
    <w:p>
      <w:pPr>
        <w:numPr>
          <w:ilvl w:val="2"/>
          <w:numId w:val="8"/>
        </w:numPr>
        <w:spacing w:line="360" w:lineRule="auto"/>
        <w:rPr>
          <w:sz w:val="24"/>
        </w:rPr>
      </w:pPr>
      <w:r>
        <w:rPr>
          <w:sz w:val="24"/>
        </w:rPr>
        <w:t xml:space="preserve">采购人或采购代理机构对供应商依法提出的询问，在3个工作日内作出答复，但答复的内容不得涉及商业秘密。</w:t>
      </w:r>
      <w:r/>
    </w:p>
    <w:p>
      <w:pPr>
        <w:numPr>
          <w:ilvl w:val="1"/>
          <w:numId w:val="8"/>
        </w:numPr>
        <w:ind w:left="1077" w:hanging="720"/>
        <w:spacing w:line="360" w:lineRule="auto"/>
        <w:tabs>
          <w:tab w:val="left" w:pos="1080" w:leader="none"/>
          <w:tab w:val="left" w:pos="2014" w:leader="none"/>
        </w:tabs>
        <w:rPr>
          <w:sz w:val="24"/>
        </w:rPr>
      </w:pPr>
      <w:r>
        <w:rPr>
          <w:sz w:val="24"/>
        </w:rPr>
        <w:t xml:space="preserve">质疑</w:t>
      </w:r>
      <w:r/>
    </w:p>
    <w:p>
      <w:pPr>
        <w:numPr>
          <w:ilvl w:val="2"/>
          <w:numId w:val="8"/>
        </w:numPr>
        <w:spacing w:line="360" w:lineRule="auto"/>
        <w:rPr>
          <w:sz w:val="24"/>
        </w:rPr>
      </w:pPr>
      <w:r>
        <w:rPr>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8"/>
        </w:numPr>
        <w:spacing w:line="360" w:lineRule="auto"/>
        <w:rPr>
          <w:sz w:val="24"/>
        </w:rPr>
      </w:pPr>
      <w:r>
        <w:rPr>
          <w:rFonts w:hint="eastAsia"/>
          <w:b/>
          <w:sz w:val="24"/>
        </w:rPr>
        <w:t xml:space="preserve">磋商文件</w:t>
      </w:r>
      <w:r>
        <w:rPr>
          <w:rFonts w:hint="eastAsia" w:ascii="宋体" w:hAnsi="宋体"/>
          <w:b/>
          <w:sz w:val="24"/>
        </w:rPr>
        <w:t xml:space="preserve">中采购需求以及相关部分（第四章、第五章以及供应商资格要求）由采购人负责制定和管理，对该部分内容有询问或者质疑的，供应商应当向采购人书面提出，由采购人负责接收和回复。</w:t>
      </w:r>
      <w:r/>
    </w:p>
    <w:p>
      <w:pPr>
        <w:numPr>
          <w:ilvl w:val="2"/>
          <w:numId w:val="8"/>
        </w:numPr>
        <w:spacing w:line="360" w:lineRule="auto"/>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1107"/>
        </w:rPr>
        <w:t xml:space="preserve">http://gk</w:t>
      </w:r>
      <w:bookmarkStart w:id="573" w:name="_Hlt100654014"/>
      <w:r>
        <w:rPr>
          <w:rStyle w:val="1107"/>
        </w:rPr>
        <w:t xml:space="preserve">s</w:t>
      </w:r>
      <w:bookmarkEnd w:id="573"/>
      <w:r>
        <w:rPr>
          <w:rStyle w:val="1107"/>
        </w:rPr>
        <w:t xml:space="preserve">.m</w:t>
      </w:r>
      <w:bookmarkStart w:id="574" w:name="_Hlt100653993"/>
      <w:r/>
      <w:bookmarkStart w:id="575" w:name="_Hlt100653994"/>
      <w:r>
        <w:rPr>
          <w:rStyle w:val="1107"/>
        </w:rPr>
        <w:t xml:space="preserve">o</w:t>
      </w:r>
      <w:bookmarkEnd w:id="574"/>
      <w:r/>
      <w:bookmarkEnd w:id="575"/>
      <w:r/>
      <w:bookmarkStart w:id="576" w:name="_Hlt101169156"/>
      <w:r>
        <w:rPr>
          <w:rStyle w:val="1107"/>
        </w:rPr>
        <w:t xml:space="preserve">f</w:t>
      </w:r>
      <w:bookmarkEnd w:id="576"/>
      <w:r>
        <w:rPr>
          <w:rStyle w:val="1107"/>
        </w:rPr>
        <w:t xml:space="preserve">.gov.cn/ztztz/zhengfucaigouguanli/201802/t20180201_2804589.htm</w:t>
      </w:r>
      <w:r>
        <w:fldChar w:fldCharType="end"/>
      </w:r>
      <w:r>
        <w:rPr>
          <w:rFonts w:hint="eastAsia"/>
        </w:rPr>
        <w:t xml:space="preserve">）</w:t>
      </w:r>
      <w:r/>
    </w:p>
    <w:p>
      <w:pPr>
        <w:numPr>
          <w:ilvl w:val="2"/>
          <w:numId w:val="8"/>
        </w:numPr>
        <w:spacing w:line="360" w:lineRule="auto"/>
        <w:rPr>
          <w:sz w:val="24"/>
        </w:rPr>
      </w:pPr>
      <w:r>
        <w:rPr>
          <w:sz w:val="24"/>
        </w:rPr>
        <w:t xml:space="preserve">供应商为自然人的，应当由本人签字；供应商为法人或者其他组织的，应当由法定代表人、主要负责人，或者其授权代表签字或者盖章，并加盖公章。</w:t>
      </w:r>
      <w:r/>
    </w:p>
    <w:p>
      <w:pPr>
        <w:numPr>
          <w:ilvl w:val="2"/>
          <w:numId w:val="8"/>
        </w:numPr>
        <w:spacing w:line="360" w:lineRule="auto"/>
        <w:rPr>
          <w:sz w:val="24"/>
        </w:rPr>
      </w:pPr>
      <w:r>
        <w:rPr>
          <w:sz w:val="24"/>
        </w:rPr>
        <w:t xml:space="preserve">供应商应在法定质疑期内一次性提出针对同一采购程序环节的质疑，法定质疑期内针对同一采购程序环节再次提出的质疑，采购人、采购代理机构有权不予答复。</w:t>
      </w:r>
      <w:r/>
    </w:p>
    <w:p>
      <w:pPr>
        <w:numPr>
          <w:ilvl w:val="1"/>
          <w:numId w:val="8"/>
        </w:numPr>
        <w:ind w:left="1077" w:hanging="720"/>
        <w:spacing w:line="360" w:lineRule="auto"/>
        <w:tabs>
          <w:tab w:val="left" w:pos="1080" w:leader="none"/>
          <w:tab w:val="left" w:pos="2014" w:leader="none"/>
        </w:tabs>
        <w:rPr>
          <w:sz w:val="24"/>
        </w:rPr>
      </w:pPr>
      <w:r>
        <w:rPr>
          <w:sz w:val="24"/>
        </w:rPr>
        <w:t xml:space="preserve">接收询问和质疑的联系部门、联系电话和通讯地址见《供应商须知资料表》</w:t>
      </w:r>
      <w:r>
        <w:rPr>
          <w:rFonts w:hint="eastAsia"/>
          <w:sz w:val="24"/>
        </w:rPr>
        <w:t xml:space="preserve">。</w:t>
      </w:r>
      <w:r/>
    </w:p>
    <w:p>
      <w:pPr>
        <w:numPr>
          <w:ilvl w:val="0"/>
          <w:numId w:val="8"/>
        </w:numPr>
        <w:ind w:left="357" w:hanging="357"/>
        <w:spacing w:line="360" w:lineRule="auto"/>
        <w:tabs>
          <w:tab w:val="left" w:pos="360" w:leader="none"/>
        </w:tabs>
        <w:rPr>
          <w:sz w:val="24"/>
        </w:rPr>
        <w:outlineLvl w:val="1"/>
      </w:pPr>
      <w:r>
        <w:rPr>
          <w:sz w:val="24"/>
        </w:rPr>
        <w:t xml:space="preserve">代理费</w:t>
      </w:r>
      <w:r/>
    </w:p>
    <w:p>
      <w:pPr>
        <w:numPr>
          <w:ilvl w:val="1"/>
          <w:numId w:val="8"/>
        </w:numPr>
        <w:ind w:left="1077" w:hanging="720"/>
        <w:spacing w:line="360" w:lineRule="auto"/>
        <w:tabs>
          <w:tab w:val="left" w:pos="1080" w:leader="none"/>
          <w:tab w:val="left" w:pos="2014" w:leader="none"/>
        </w:tabs>
        <w:rPr>
          <w:sz w:val="24"/>
        </w:rPr>
      </w:pPr>
      <w:r>
        <w:rPr>
          <w:sz w:val="24"/>
        </w:rPr>
        <w:t xml:space="preserve">收费对象、收费标准及缴纳时间见《供应商须知资料表》。由成交供应商支付的，成交供应商须一次性向采购代理机构缴纳代理费，报价应包含代理费用。</w:t>
      </w:r>
      <w:r/>
    </w:p>
    <w:p>
      <w:pPr>
        <w:numPr>
          <w:ilvl w:val="1"/>
          <w:numId w:val="8"/>
        </w:numPr>
        <w:ind w:left="1077" w:hanging="720"/>
        <w:spacing w:line="360" w:lineRule="auto"/>
        <w:tabs>
          <w:tab w:val="left" w:pos="1080" w:leader="none"/>
          <w:tab w:val="left" w:pos="2014" w:leader="none"/>
        </w:tabs>
        <w:rPr>
          <w:sz w:val="24"/>
        </w:rPr>
      </w:pPr>
      <w:r/>
      <w:bookmarkStart w:id="577" w:name="_Toc353873664"/>
      <w:r/>
      <w:bookmarkStart w:id="578" w:name="_Toc150480792"/>
      <w:r/>
      <w:bookmarkStart w:id="579" w:name="_Toc264969244"/>
      <w:r/>
      <w:bookmarkStart w:id="580" w:name="_Toc265228392"/>
      <w:r/>
      <w:bookmarkStart w:id="581" w:name="_Toc127151554"/>
      <w:r/>
      <w:bookmarkStart w:id="582" w:name="_Toc142311056"/>
      <w:r/>
      <w:bookmarkStart w:id="583" w:name="_Toc353825544"/>
      <w:r/>
      <w:bookmarkStart w:id="584" w:name="_Toc305158822"/>
      <w:r/>
      <w:bookmarkStart w:id="585" w:name="_Toc226965827"/>
      <w:r/>
      <w:bookmarkStart w:id="586" w:name="_Toc150774759"/>
      <w:r/>
      <w:bookmarkStart w:id="587" w:name="_Toc226337250"/>
      <w:r/>
      <w:bookmarkStart w:id="588" w:name="_Toc353873934"/>
      <w:r/>
      <w:bookmarkStart w:id="589" w:name="_Toc305158896"/>
      <w:r>
        <w:rPr>
          <w:rFonts w:hint="eastAsia"/>
          <w:sz w:val="24"/>
        </w:rPr>
        <w:t xml:space="preserve">集中采购机构不收取代理费。</w:t>
      </w:r>
      <w:r/>
    </w:p>
    <w:p>
      <w:pPr>
        <w:numPr>
          <w:ilvl w:val="1"/>
          <w:numId w:val="8"/>
        </w:numPr>
        <w:ind w:left="1077" w:hanging="720"/>
        <w:spacing w:line="360" w:lineRule="auto"/>
        <w:tabs>
          <w:tab w:val="left" w:pos="1080" w:leader="none"/>
          <w:tab w:val="left" w:pos="2014" w:leader="none"/>
        </w:tabs>
        <w:rPr>
          <w:sz w:val="24"/>
        </w:rPr>
        <w:sectPr>
          <w:footerReference w:type="even" r:id="rId19"/>
          <w:footnotePr/>
          <w:endnotePr/>
          <w:type w:val="nextPage"/>
          <w:pgSz w:w="11907" w:h="16840" w:orient="portrait"/>
          <w:pgMar w:top="1440" w:right="1800" w:bottom="1440" w:left="1800" w:header="851" w:footer="851" w:gutter="0"/>
          <w:cols w:num="1" w:sep="0" w:space="1701" w:equalWidth="1"/>
          <w:docGrid w:linePitch="360"/>
        </w:sectPr>
      </w:pPr>
      <w:r>
        <w:rPr>
          <w:sz w:val="24"/>
        </w:rPr>
      </w:r>
      <w:r/>
    </w:p>
    <w:p>
      <w:pPr>
        <w:jc w:val="center"/>
        <w:spacing w:line="360" w:lineRule="auto"/>
        <w:rPr>
          <w:b/>
          <w:sz w:val="36"/>
          <w:szCs w:val="36"/>
        </w:rPr>
        <w:outlineLvl w:val="0"/>
      </w:pPr>
      <w:r/>
      <w:bookmarkStart w:id="590" w:name="_Toc104818927"/>
      <w:r>
        <w:rPr>
          <w:b/>
          <w:sz w:val="36"/>
          <w:szCs w:val="36"/>
        </w:rPr>
        <w:t xml:space="preserve">第三章   </w:t>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rPr>
          <w:b/>
          <w:sz w:val="36"/>
          <w:szCs w:val="36"/>
        </w:rPr>
        <w:t xml:space="preserve">评审</w:t>
      </w:r>
      <w:r>
        <w:rPr>
          <w:rFonts w:hint="eastAsia"/>
          <w:b/>
          <w:sz w:val="36"/>
          <w:szCs w:val="36"/>
        </w:rPr>
        <w:t xml:space="preserve">程序、评审</w:t>
      </w:r>
      <w:r>
        <w:rPr>
          <w:b/>
          <w:sz w:val="36"/>
          <w:szCs w:val="36"/>
        </w:rPr>
        <w:t xml:space="preserve">方法和评审标准</w:t>
      </w:r>
      <w:bookmarkEnd w:id="590"/>
      <w:r/>
      <w:bookmarkStart w:id="591" w:name="_Toc487900382"/>
      <w:r/>
      <w:r/>
    </w:p>
    <w:p>
      <w:pPr>
        <w:pStyle w:val="1033"/>
        <w:spacing w:before="0" w:line="360" w:lineRule="auto"/>
        <w:rPr>
          <w:rFonts w:ascii="Times New Roman" w:hAnsi="Times New Roman" w:eastAsia="宋体"/>
          <w:sz w:val="24"/>
          <w:szCs w:val="24"/>
        </w:rPr>
      </w:pPr>
      <w:r>
        <w:rPr>
          <w:rFonts w:ascii="Times New Roman" w:hAnsi="Times New Roman" w:eastAsia="宋体"/>
          <w:sz w:val="24"/>
          <w:szCs w:val="24"/>
        </w:rPr>
        <w:t xml:space="preserve">一、</w:t>
      </w:r>
      <w:r>
        <w:rPr>
          <w:rFonts w:hint="eastAsia" w:ascii="Times New Roman" w:hAnsi="Times New Roman" w:eastAsia="宋体"/>
          <w:sz w:val="24"/>
          <w:szCs w:val="24"/>
        </w:rPr>
        <w:t xml:space="preserve">评审</w:t>
      </w:r>
      <w:r>
        <w:rPr>
          <w:rFonts w:ascii="Times New Roman" w:hAnsi="Times New Roman" w:eastAsia="宋体"/>
          <w:sz w:val="24"/>
          <w:szCs w:val="24"/>
        </w:rPr>
        <w:t xml:space="preserve">程序</w:t>
      </w:r>
      <w:r/>
    </w:p>
    <w:p>
      <w:pPr>
        <w:jc w:val="left"/>
        <w:tabs>
          <w:tab w:val="left" w:pos="1080" w:leader="none"/>
        </w:tabs>
        <w:rPr>
          <w:b/>
          <w:sz w:val="24"/>
        </w:rPr>
      </w:pPr>
      <w:r>
        <w:rPr>
          <w:b/>
          <w:sz w:val="24"/>
        </w:rPr>
        <w:tab/>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591"/>
      <w:r/>
      <w:r/>
    </w:p>
    <w:p>
      <w:pPr>
        <w:numPr>
          <w:ilvl w:val="0"/>
          <w:numId w:val="11"/>
        </w:numPr>
        <w:spacing w:line="360" w:lineRule="auto"/>
        <w:tabs>
          <w:tab w:val="left" w:pos="360" w:leader="none"/>
        </w:tabs>
        <w:rPr>
          <w:sz w:val="24"/>
        </w:rPr>
        <w:outlineLvl w:val="1"/>
      </w:pPr>
      <w:r/>
      <w:bookmarkStart w:id="592" w:name="_Toc164351635"/>
      <w:r/>
      <w:bookmarkStart w:id="593" w:name="_Toc226965814"/>
      <w:r/>
      <w:bookmarkStart w:id="594" w:name="_Toc127151541"/>
      <w:r/>
      <w:bookmarkStart w:id="595" w:name="_Toc226337237"/>
      <w:r/>
      <w:bookmarkStart w:id="596" w:name="_Toc151193783"/>
      <w:r/>
      <w:bookmarkStart w:id="597" w:name="_Toc265228379"/>
      <w:r/>
      <w:bookmarkStart w:id="598" w:name="_Toc305158883"/>
      <w:r/>
      <w:bookmarkStart w:id="599" w:name="_Toc127151742"/>
      <w:r/>
      <w:bookmarkStart w:id="600" w:name="_Toc127161455"/>
      <w:r/>
      <w:bookmarkStart w:id="601" w:name="_Toc164608655"/>
      <w:r/>
      <w:bookmarkStart w:id="602" w:name="_Toc150774746"/>
      <w:r/>
      <w:bookmarkStart w:id="603" w:name="_Toc151190168"/>
      <w:r/>
      <w:bookmarkStart w:id="604" w:name="_Toc305158809"/>
      <w:r/>
      <w:bookmarkStart w:id="605" w:name="_Toc164229382"/>
      <w:r/>
      <w:bookmarkStart w:id="606" w:name="_Toc151193639"/>
      <w:r/>
      <w:bookmarkStart w:id="607" w:name="_Toc142311043"/>
      <w:r/>
      <w:bookmarkStart w:id="608" w:name="_Toc164608810"/>
      <w:r/>
      <w:bookmarkStart w:id="609" w:name="_Toc151193711"/>
      <w:r/>
      <w:bookmarkStart w:id="610" w:name="_Toc195842906"/>
      <w:r/>
      <w:bookmarkStart w:id="611" w:name="_Toc226309785"/>
      <w:r/>
      <w:bookmarkStart w:id="612" w:name="_Toc226965731"/>
      <w:r/>
      <w:bookmarkStart w:id="613" w:name="_Toc150509292"/>
      <w:r/>
      <w:bookmarkStart w:id="614" w:name="_Toc149720834"/>
      <w:r/>
      <w:bookmarkStart w:id="615" w:name="_Toc150480779"/>
      <w:r/>
      <w:bookmarkStart w:id="616" w:name="_Toc151193855"/>
      <w:r/>
      <w:bookmarkStart w:id="617" w:name="_Toc164229236"/>
      <w:r/>
      <w:bookmarkStart w:id="618" w:name="_Toc150774641"/>
      <w:r/>
      <w:bookmarkStart w:id="619" w:name="_Toc264969231"/>
      <w:r/>
      <w:bookmarkStart w:id="620" w:name="_Toc151193929"/>
      <w:r/>
      <w:bookmarkStart w:id="621" w:name="_Toc353873941"/>
      <w:r/>
      <w:bookmarkStart w:id="622" w:name="_Toc353825551"/>
      <w:r/>
      <w:bookmarkStart w:id="623" w:name="_Toc226337251"/>
      <w:r/>
      <w:bookmarkStart w:id="624" w:name="_Toc265228393"/>
      <w:r/>
      <w:bookmarkStart w:id="625" w:name="_Toc353825545"/>
      <w:r/>
      <w:bookmarkStart w:id="626" w:name="_Toc305158897"/>
      <w:r/>
      <w:bookmarkStart w:id="627" w:name="_Toc127151555"/>
      <w:r/>
      <w:bookmarkStart w:id="628" w:name="_Toc264969245"/>
      <w:r/>
      <w:bookmarkStart w:id="629" w:name="_Toc150480793"/>
      <w:r/>
      <w:bookmarkStart w:id="630" w:name="_Toc353873665"/>
      <w:r/>
      <w:bookmarkStart w:id="631" w:name="_Toc195842920"/>
      <w:r/>
      <w:bookmarkStart w:id="632" w:name="_Toc305158823"/>
      <w:r/>
      <w:bookmarkStart w:id="633" w:name="_Toc226965828"/>
      <w:r/>
      <w:bookmarkStart w:id="634" w:name="_Toc142311057"/>
      <w:r/>
      <w:bookmarkStart w:id="635" w:name="_Toc150774760"/>
      <w:r/>
      <w:bookmarkStart w:id="636" w:name="_Toc353873935"/>
      <w:r>
        <w:rPr>
          <w:sz w:val="24"/>
        </w:rPr>
        <w:t xml:space="preserve">响应文件的</w:t>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rPr>
          <w:sz w:val="24"/>
        </w:rPr>
        <w:t xml:space="preserve">资格性检查和符合性审查</w:t>
      </w:r>
      <w:r/>
    </w:p>
    <w:p>
      <w:pPr>
        <w:numPr>
          <w:ilvl w:val="1"/>
          <w:numId w:val="11"/>
        </w:numPr>
        <w:ind w:left="1077" w:hanging="720"/>
        <w:spacing w:line="360" w:lineRule="auto"/>
        <w:tabs>
          <w:tab w:val="left" w:pos="1080" w:leader="none"/>
        </w:tabs>
        <w:rPr>
          <w:sz w:val="24"/>
        </w:rPr>
      </w:pPr>
      <w:r>
        <w:rPr>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 w:val="24"/>
        </w:rPr>
        <w:t xml:space="preserve">无效响应</w:t>
      </w:r>
      <w:r>
        <w:rPr>
          <w:sz w:val="24"/>
        </w:rPr>
        <w:t xml:space="preserve">处理，磋商小组应当告知提交响应文件的供应商。</w:t>
      </w:r>
      <w:r/>
    </w:p>
    <w:p>
      <w:pPr>
        <w:numPr>
          <w:ilvl w:val="1"/>
          <w:numId w:val="11"/>
        </w:numPr>
        <w:ind w:left="1077" w:hanging="720"/>
        <w:spacing w:line="360" w:lineRule="auto"/>
        <w:tabs>
          <w:tab w:val="left" w:pos="1080" w:leader="none"/>
        </w:tabs>
        <w:rPr>
          <w:sz w:val="24"/>
        </w:rPr>
      </w:pPr>
      <w:r>
        <w:rPr>
          <w:sz w:val="24"/>
        </w:rPr>
        <w:t xml:space="preserve">《资格性检查要求》中对格式有要求的，除竞争性磋商文件另有规定外，均为“实质性格式”文件。</w:t>
      </w:r>
      <w:r/>
    </w:p>
    <w:p>
      <w:pPr>
        <w:numPr>
          <w:ilvl w:val="1"/>
          <w:numId w:val="11"/>
        </w:numPr>
        <w:ind w:left="1077" w:hanging="720"/>
        <w:spacing w:line="360" w:lineRule="auto"/>
        <w:tabs>
          <w:tab w:val="left" w:pos="1080" w:leader="none"/>
        </w:tabs>
        <w:rPr>
          <w:sz w:val="24"/>
        </w:rPr>
      </w:pPr>
      <w:r>
        <w:rPr>
          <w:sz w:val="24"/>
        </w:rPr>
        <w:t xml:space="preserve">《资格性检查要求》见下表：</w:t>
      </w:r>
      <w:r/>
    </w:p>
    <w:p>
      <w:pPr>
        <w:ind w:left="1077" w:firstLine="2650"/>
        <w:spacing w:line="360" w:lineRule="auto"/>
        <w:tabs>
          <w:tab w:val="left" w:pos="900" w:leader="none"/>
          <w:tab w:val="left" w:pos="1080" w:leader="none"/>
        </w:tabs>
        <w:rPr>
          <w:b/>
          <w:sz w:val="24"/>
        </w:rPr>
      </w:pPr>
      <w:r>
        <w:rPr>
          <w:b/>
          <w:sz w:val="24"/>
        </w:rPr>
        <w:t xml:space="preserve">资格性检查要求</w:t>
      </w:r>
      <w:r/>
    </w:p>
    <w:tbl>
      <w:tblPr>
        <w:tblStyle w:val="855"/>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0"/>
        <w:gridCol w:w="1729"/>
        <w:gridCol w:w="4494"/>
        <w:gridCol w:w="1660"/>
      </w:tblGrid>
      <w:tr>
        <w:trPr>
          <w:cantSplit/>
          <w:trHeight w:val="20"/>
          <w:tblHeader/>
        </w:trPr>
        <w:tc>
          <w:tcPr>
            <w:tcW w:w="375" w:type="dxa"/>
            <w:vAlign w:val="center"/>
            <w:textDirection w:val="lrTb"/>
            <w:noWrap w:val="false"/>
          </w:tcPr>
          <w:p>
            <w:pPr>
              <w:jc w:val="center"/>
              <w:tabs>
                <w:tab w:val="left" w:pos="1080" w:leader="none"/>
              </w:tabs>
              <w:rPr>
                <w:b/>
                <w:sz w:val="24"/>
              </w:rPr>
            </w:pPr>
            <w:r/>
            <w:bookmarkStart w:id="637" w:name="_Hlt487972895"/>
            <w:r/>
            <w:bookmarkEnd w:id="637"/>
            <w:r>
              <w:rPr>
                <w:b/>
                <w:sz w:val="24"/>
              </w:rPr>
              <w:t xml:space="preserve">序号</w:t>
            </w:r>
            <w:r/>
          </w:p>
        </w:tc>
        <w:tc>
          <w:tcPr>
            <w:tcW w:w="1014" w:type="dxa"/>
            <w:vAlign w:val="center"/>
            <w:textDirection w:val="lrTb"/>
            <w:noWrap w:val="false"/>
          </w:tcPr>
          <w:p>
            <w:pPr>
              <w:jc w:val="center"/>
              <w:tabs>
                <w:tab w:val="left" w:pos="1080" w:leader="none"/>
              </w:tabs>
              <w:rPr>
                <w:b/>
                <w:sz w:val="24"/>
              </w:rPr>
            </w:pPr>
            <w:r>
              <w:rPr>
                <w:b/>
                <w:sz w:val="24"/>
              </w:rPr>
              <w:t xml:space="preserve">审查因素</w:t>
            </w:r>
            <w:r/>
          </w:p>
        </w:tc>
        <w:tc>
          <w:tcPr>
            <w:tcW w:w="2636" w:type="dxa"/>
            <w:vAlign w:val="center"/>
            <w:textDirection w:val="lrTb"/>
            <w:noWrap w:val="false"/>
          </w:tcPr>
          <w:p>
            <w:pPr>
              <w:jc w:val="center"/>
              <w:tabs>
                <w:tab w:val="left" w:pos="1080" w:leader="none"/>
              </w:tabs>
              <w:rPr>
                <w:b/>
                <w:sz w:val="24"/>
              </w:rPr>
            </w:pPr>
            <w:r>
              <w:rPr>
                <w:b/>
                <w:sz w:val="24"/>
              </w:rPr>
              <w:t xml:space="preserve">审查内容</w:t>
            </w:r>
            <w:r/>
          </w:p>
        </w:tc>
        <w:tc>
          <w:tcPr>
            <w:tcW w:w="973" w:type="dxa"/>
            <w:vAlign w:val="center"/>
            <w:textDirection w:val="lrTb"/>
            <w:noWrap w:val="false"/>
          </w:tcPr>
          <w:p>
            <w:pPr>
              <w:jc w:val="center"/>
              <w:tabs>
                <w:tab w:val="left" w:pos="1080" w:leader="none"/>
              </w:tabs>
              <w:rPr>
                <w:b/>
                <w:sz w:val="24"/>
              </w:rPr>
            </w:pPr>
            <w:r>
              <w:rPr>
                <w:b/>
                <w:sz w:val="24"/>
              </w:rPr>
              <w:t xml:space="preserve">格式要求</w:t>
            </w:r>
            <w:r/>
          </w:p>
        </w:tc>
      </w:tr>
      <w:tr>
        <w:trPr>
          <w:cantSplit/>
          <w:trHeight w:val="20"/>
        </w:trPr>
        <w:tc>
          <w:tcPr>
            <w:tcW w:w="375" w:type="dxa"/>
            <w:vAlign w:val="center"/>
            <w:textDirection w:val="lrTb"/>
            <w:noWrap w:val="false"/>
          </w:tcPr>
          <w:p>
            <w:pPr>
              <w:jc w:val="center"/>
              <w:tabs>
                <w:tab w:val="left" w:pos="1080" w:leader="none"/>
              </w:tabs>
              <w:rPr>
                <w:sz w:val="24"/>
              </w:rPr>
            </w:pPr>
            <w:r>
              <w:rPr>
                <w:sz w:val="24"/>
              </w:rPr>
              <w:t xml:space="preserve">1</w:t>
            </w:r>
            <w:r/>
          </w:p>
        </w:tc>
        <w:tc>
          <w:tcPr>
            <w:tcW w:w="1014" w:type="dxa"/>
            <w:vAlign w:val="center"/>
            <w:textDirection w:val="lrTb"/>
            <w:noWrap w:val="false"/>
          </w:tcPr>
          <w:p>
            <w:pPr>
              <w:tabs>
                <w:tab w:val="left" w:pos="1080" w:leader="none"/>
              </w:tabs>
              <w:rPr>
                <w:sz w:val="24"/>
              </w:rPr>
            </w:pPr>
            <w:r>
              <w:rPr>
                <w:sz w:val="24"/>
              </w:rPr>
              <w:t xml:space="preserve">满足《中华人民共和国政府采购法》第二十二条规定及法律法规的其他规定</w:t>
            </w:r>
            <w:r/>
          </w:p>
        </w:tc>
        <w:tc>
          <w:tcPr>
            <w:tcW w:w="2636" w:type="dxa"/>
            <w:vAlign w:val="center"/>
            <w:textDirection w:val="lrTb"/>
            <w:noWrap w:val="false"/>
          </w:tcPr>
          <w:p>
            <w:pPr>
              <w:tabs>
                <w:tab w:val="left" w:pos="1080" w:leader="none"/>
              </w:tabs>
              <w:rPr>
                <w:sz w:val="24"/>
              </w:rPr>
            </w:pPr>
            <w:r>
              <w:rPr>
                <w:sz w:val="24"/>
              </w:rPr>
              <w:t xml:space="preserve">具体规定见第一章《采购邀请》</w:t>
            </w:r>
            <w:r/>
          </w:p>
        </w:tc>
        <w:tc>
          <w:tcPr>
            <w:tcW w:w="973" w:type="dxa"/>
            <w:vAlign w:val="center"/>
            <w:textDirection w:val="lrTb"/>
            <w:noWrap w:val="false"/>
          </w:tcPr>
          <w:p>
            <w:pPr>
              <w:tabs>
                <w:tab w:val="left" w:pos="1080" w:leader="none"/>
              </w:tabs>
              <w:rPr>
                <w:sz w:val="24"/>
              </w:rPr>
            </w:pPr>
            <w:r>
              <w:rPr>
                <w:sz w:val="24"/>
              </w:rPr>
            </w:r>
            <w:r/>
          </w:p>
        </w:tc>
      </w:tr>
      <w:tr>
        <w:trPr>
          <w:cantSplit/>
          <w:trHeight w:val="468"/>
        </w:trPr>
        <w:tc>
          <w:tcPr>
            <w:tcW w:w="375" w:type="dxa"/>
            <w:vAlign w:val="center"/>
            <w:textDirection w:val="lrTb"/>
            <w:noWrap w:val="false"/>
          </w:tcPr>
          <w:p>
            <w:pPr>
              <w:jc w:val="center"/>
              <w:tabs>
                <w:tab w:val="left" w:pos="1080" w:leader="none"/>
              </w:tabs>
              <w:rPr>
                <w:sz w:val="24"/>
              </w:rPr>
            </w:pPr>
            <w:r>
              <w:rPr>
                <w:sz w:val="24"/>
              </w:rPr>
              <w:t xml:space="preserve">1-1</w:t>
            </w:r>
            <w:r/>
          </w:p>
        </w:tc>
        <w:tc>
          <w:tcPr>
            <w:tcW w:w="1014" w:type="dxa"/>
            <w:vAlign w:val="center"/>
            <w:textDirection w:val="lrTb"/>
            <w:noWrap w:val="false"/>
          </w:tcPr>
          <w:p>
            <w:pPr>
              <w:tabs>
                <w:tab w:val="left" w:pos="1080" w:leader="none"/>
              </w:tabs>
              <w:rPr>
                <w:sz w:val="24"/>
              </w:rPr>
            </w:pPr>
            <w:r>
              <w:rPr>
                <w:rFonts w:hint="eastAsia"/>
                <w:sz w:val="24"/>
              </w:rPr>
              <w:t xml:space="preserve">供应商资格声明函</w:t>
            </w:r>
            <w:r/>
          </w:p>
        </w:tc>
        <w:tc>
          <w:tcPr>
            <w:tcW w:w="2636" w:type="dxa"/>
            <w:vAlign w:val="center"/>
            <w:textDirection w:val="lrTb"/>
            <w:noWrap w:val="false"/>
          </w:tcPr>
          <w:p>
            <w:pPr>
              <w:tabs>
                <w:tab w:val="left" w:pos="1080" w:leader="none"/>
              </w:tabs>
              <w:rPr>
                <w:sz w:val="24"/>
              </w:rPr>
            </w:pPr>
            <w:r>
              <w:rPr>
                <w:sz w:val="24"/>
              </w:rPr>
              <w:t xml:space="preserve">提供了符合</w:t>
            </w:r>
            <w:r>
              <w:rPr>
                <w:rFonts w:hint="eastAsia"/>
                <w:sz w:val="24"/>
              </w:rPr>
              <w:t xml:space="preserve">采购</w:t>
            </w:r>
            <w:r>
              <w:rPr>
                <w:sz w:val="24"/>
              </w:rPr>
              <w:t xml:space="preserve">文件要求的《</w:t>
            </w:r>
            <w:r>
              <w:rPr>
                <w:rFonts w:hint="eastAsia"/>
                <w:sz w:val="24"/>
              </w:rPr>
              <w:t xml:space="preserve">供应商资格声明函</w:t>
            </w:r>
            <w:r>
              <w:rPr>
                <w:sz w:val="24"/>
              </w:rPr>
              <w:t xml:space="preserve">》。</w:t>
            </w:r>
            <w:r/>
          </w:p>
        </w:tc>
        <w:tc>
          <w:tcPr>
            <w:tcW w:w="973" w:type="dxa"/>
            <w:vAlign w:val="center"/>
            <w:textDirection w:val="lrTb"/>
            <w:noWrap w:val="false"/>
          </w:tcPr>
          <w:p>
            <w:pPr>
              <w:tabs>
                <w:tab w:val="left" w:pos="1080" w:leader="none"/>
              </w:tabs>
              <w:rPr>
                <w:sz w:val="24"/>
              </w:rPr>
            </w:pPr>
            <w:r>
              <w:rPr>
                <w:sz w:val="24"/>
              </w:rPr>
              <w:t xml:space="preserve">格式见《</w:t>
            </w:r>
            <w:r>
              <w:rPr>
                <w:rFonts w:hint="eastAsia"/>
                <w:sz w:val="24"/>
              </w:rPr>
              <w:t xml:space="preserve">响应</w:t>
            </w:r>
            <w:r>
              <w:rPr>
                <w:sz w:val="24"/>
              </w:rPr>
              <w:t xml:space="preserve">文件格式》</w:t>
            </w:r>
            <w:r/>
          </w:p>
        </w:tc>
      </w:tr>
      <w:tr>
        <w:trPr>
          <w:cantSplit/>
          <w:trHeight w:val="20"/>
        </w:trPr>
        <w:tc>
          <w:tcPr>
            <w:tcW w:w="375" w:type="dxa"/>
            <w:vAlign w:val="center"/>
            <w:textDirection w:val="lrTb"/>
            <w:noWrap w:val="false"/>
          </w:tcPr>
          <w:p>
            <w:pPr>
              <w:jc w:val="center"/>
              <w:tabs>
                <w:tab w:val="left" w:pos="1080" w:leader="none"/>
              </w:tabs>
              <w:rPr>
                <w:sz w:val="24"/>
              </w:rPr>
            </w:pPr>
            <w:r>
              <w:rPr>
                <w:rFonts w:hint="eastAsia"/>
                <w:sz w:val="24"/>
              </w:rPr>
              <w:t xml:space="preserve">1</w:t>
            </w:r>
            <w:r>
              <w:rPr>
                <w:sz w:val="24"/>
              </w:rPr>
              <w:t xml:space="preserve">-</w:t>
            </w:r>
            <w:r>
              <w:rPr>
                <w:rFonts w:hint="eastAsia"/>
                <w:sz w:val="24"/>
              </w:rPr>
              <w:t xml:space="preserve">2</w:t>
            </w:r>
            <w:r/>
          </w:p>
        </w:tc>
        <w:tc>
          <w:tcPr>
            <w:tcW w:w="1014" w:type="dxa"/>
            <w:vAlign w:val="center"/>
            <w:textDirection w:val="lrTb"/>
            <w:noWrap w:val="false"/>
          </w:tcPr>
          <w:p>
            <w:pPr>
              <w:tabs>
                <w:tab w:val="left" w:pos="1080" w:leader="none"/>
              </w:tabs>
              <w:rPr>
                <w:sz w:val="24"/>
              </w:rPr>
            </w:pPr>
            <w:r>
              <w:rPr>
                <w:sz w:val="24"/>
              </w:rPr>
              <w:t xml:space="preserve">供应商信用记录</w:t>
            </w:r>
            <w:r/>
          </w:p>
        </w:tc>
        <w:tc>
          <w:tcPr>
            <w:tcW w:w="2636" w:type="dxa"/>
            <w:vAlign w:val="center"/>
            <w:textDirection w:val="lrTb"/>
            <w:noWrap w:val="false"/>
          </w:tcPr>
          <w:p>
            <w:pPr>
              <w:tabs>
                <w:tab w:val="left" w:pos="900" w:leader="none"/>
                <w:tab w:val="left" w:pos="1980" w:leader="none"/>
              </w:tabs>
              <w:rPr>
                <w:sz w:val="24"/>
              </w:rPr>
            </w:pPr>
            <w:r>
              <w:rPr>
                <w:sz w:val="24"/>
              </w:rPr>
              <w:t xml:space="preserve">查询渠道：信用中国网站和中国政府采购网（www.creditchina.gov.cn、www.ccgp.gov.cn）；</w:t>
            </w:r>
            <w:r/>
          </w:p>
          <w:p>
            <w:pPr>
              <w:tabs>
                <w:tab w:val="left" w:pos="900" w:leader="none"/>
                <w:tab w:val="left" w:pos="1980" w:leader="none"/>
              </w:tabs>
              <w:rPr>
                <w:sz w:val="24"/>
              </w:rPr>
            </w:pPr>
            <w:r>
              <w:rPr>
                <w:sz w:val="24"/>
              </w:rPr>
              <w:t xml:space="preserve">截止时点：提交响应文件截止时间以后、</w:t>
            </w:r>
            <w:r>
              <w:rPr>
                <w:rFonts w:hint="eastAsia"/>
                <w:sz w:val="24"/>
              </w:rPr>
              <w:t xml:space="preserve">资格审查阶段采购人或采购代理机构</w:t>
            </w:r>
            <w:r>
              <w:rPr>
                <w:sz w:val="24"/>
              </w:rPr>
              <w:t xml:space="preserve">的实际查询时间；</w:t>
            </w:r>
            <w:r/>
          </w:p>
          <w:p>
            <w:pPr>
              <w:tabs>
                <w:tab w:val="left" w:pos="900" w:leader="none"/>
                <w:tab w:val="left" w:pos="1980" w:leader="none"/>
              </w:tabs>
              <w:rPr>
                <w:sz w:val="24"/>
              </w:rPr>
            </w:pPr>
            <w:r>
              <w:rPr>
                <w:sz w:val="24"/>
              </w:rPr>
              <w:t xml:space="preserve">信用信息查询记录和证据留存具体方式：查询结果网页打印页作为查询记录和证据，与其他采购文件一并保存；</w:t>
            </w:r>
            <w:r/>
          </w:p>
          <w:p>
            <w:pPr>
              <w:tabs>
                <w:tab w:val="left" w:pos="1080" w:leader="none"/>
              </w:tabs>
              <w:rPr>
                <w:sz w:val="24"/>
              </w:rPr>
            </w:pPr>
            <w:r>
              <w:rPr>
                <w:sz w:val="24"/>
              </w:rPr>
              <w:t xml:space="preserve">信用信息的使用原则：经认定的被列入失信被执行人、重大税收违法案件当事人名单、政府采购严重违法失信行为记录名单的供应商，其</w:t>
            </w:r>
            <w:r>
              <w:rPr>
                <w:b/>
                <w:sz w:val="24"/>
              </w:rPr>
              <w:t xml:space="preserve">响应无效</w:t>
            </w:r>
            <w:r>
              <w:rPr>
                <w:sz w:val="24"/>
              </w:rPr>
              <w:t xml:space="preserve">。联合体形式响应的，联合体成员存在不良信用记录，视同联合体存在不良信用记录。</w:t>
            </w:r>
            <w:r/>
          </w:p>
        </w:tc>
        <w:tc>
          <w:tcPr>
            <w:tcW w:w="973" w:type="dxa"/>
            <w:vAlign w:val="center"/>
            <w:textDirection w:val="lrTb"/>
            <w:noWrap w:val="false"/>
          </w:tcPr>
          <w:p>
            <w:pPr>
              <w:tabs>
                <w:tab w:val="left" w:pos="1080" w:leader="none"/>
              </w:tabs>
              <w:rPr>
                <w:sz w:val="24"/>
              </w:rPr>
            </w:pPr>
            <w:r>
              <w:rPr>
                <w:sz w:val="24"/>
              </w:rPr>
              <w:t xml:space="preserve">无须供应商提供，由采购人查询。</w:t>
            </w:r>
            <w:r/>
          </w:p>
        </w:tc>
      </w:tr>
      <w:tr>
        <w:trPr>
          <w:cantSplit/>
          <w:trHeight w:val="20"/>
        </w:trPr>
        <w:tc>
          <w:tcPr>
            <w:tcW w:w="375" w:type="dxa"/>
            <w:vAlign w:val="center"/>
            <w:textDirection w:val="lrTb"/>
            <w:noWrap w:val="false"/>
          </w:tcPr>
          <w:p>
            <w:pPr>
              <w:jc w:val="center"/>
              <w:tabs>
                <w:tab w:val="left" w:pos="1080" w:leader="none"/>
              </w:tabs>
              <w:rPr>
                <w:sz w:val="24"/>
              </w:rPr>
            </w:pPr>
            <w:r>
              <w:rPr>
                <w:sz w:val="24"/>
              </w:rPr>
              <w:t xml:space="preserve">2</w:t>
            </w:r>
            <w:r/>
          </w:p>
        </w:tc>
        <w:tc>
          <w:tcPr>
            <w:tcW w:w="1014" w:type="dxa"/>
            <w:vAlign w:val="center"/>
            <w:textDirection w:val="lrTb"/>
            <w:noWrap w:val="false"/>
          </w:tcPr>
          <w:p>
            <w:pPr>
              <w:tabs>
                <w:tab w:val="left" w:pos="1080" w:leader="none"/>
              </w:tabs>
              <w:rPr>
                <w:sz w:val="24"/>
              </w:rPr>
            </w:pPr>
            <w:r>
              <w:rPr>
                <w:sz w:val="24"/>
              </w:rPr>
              <w:t xml:space="preserve">落实政府采购政策需满足的资格要求</w:t>
            </w:r>
            <w:r/>
          </w:p>
        </w:tc>
        <w:tc>
          <w:tcPr>
            <w:tcW w:w="2636" w:type="dxa"/>
            <w:vAlign w:val="center"/>
            <w:textDirection w:val="lrTb"/>
            <w:noWrap w:val="false"/>
          </w:tcPr>
          <w:p>
            <w:pPr>
              <w:tabs>
                <w:tab w:val="left" w:pos="1080" w:leader="none"/>
              </w:tabs>
              <w:rPr>
                <w:sz w:val="24"/>
              </w:rPr>
            </w:pPr>
            <w:r>
              <w:rPr>
                <w:sz w:val="24"/>
              </w:rPr>
              <w:t xml:space="preserve">具体要求见第一章《采购邀请》</w:t>
            </w:r>
            <w:r/>
          </w:p>
        </w:tc>
        <w:tc>
          <w:tcPr>
            <w:tcW w:w="973" w:type="dxa"/>
            <w:vAlign w:val="center"/>
            <w:textDirection w:val="lrTb"/>
            <w:noWrap w:val="false"/>
          </w:tcPr>
          <w:p>
            <w:pPr>
              <w:tabs>
                <w:tab w:val="left" w:pos="1080" w:leader="none"/>
              </w:tabs>
              <w:rPr>
                <w:sz w:val="24"/>
              </w:rPr>
            </w:pPr>
            <w:r>
              <w:rPr>
                <w:sz w:val="24"/>
              </w:rPr>
            </w:r>
            <w:r/>
          </w:p>
        </w:tc>
      </w:tr>
      <w:tr>
        <w:trPr>
          <w:cantSplit/>
          <w:trHeight w:val="20"/>
        </w:trPr>
        <w:tc>
          <w:tcPr>
            <w:tcW w:w="375" w:type="dxa"/>
            <w:vAlign w:val="center"/>
            <w:textDirection w:val="lrTb"/>
            <w:noWrap w:val="false"/>
          </w:tcPr>
          <w:p>
            <w:pPr>
              <w:jc w:val="center"/>
              <w:tabs>
                <w:tab w:val="left" w:pos="1080" w:leader="none"/>
              </w:tabs>
              <w:rPr>
                <w:sz w:val="24"/>
              </w:rPr>
            </w:pPr>
            <w:r>
              <w:rPr>
                <w:sz w:val="24"/>
              </w:rPr>
              <w:t xml:space="preserve">2-1</w:t>
            </w:r>
            <w:r/>
          </w:p>
        </w:tc>
        <w:tc>
          <w:tcPr>
            <w:tcW w:w="1014" w:type="dxa"/>
            <w:vAlign w:val="center"/>
            <w:textDirection w:val="lrTb"/>
            <w:noWrap w:val="false"/>
          </w:tcPr>
          <w:p>
            <w:pPr>
              <w:tabs>
                <w:tab w:val="left" w:pos="1080" w:leader="none"/>
              </w:tabs>
              <w:rPr>
                <w:sz w:val="24"/>
              </w:rPr>
            </w:pPr>
            <w:r>
              <w:rPr>
                <w:sz w:val="24"/>
              </w:rPr>
              <w:t xml:space="preserve">中小企业声明函</w:t>
            </w:r>
            <w:r/>
          </w:p>
        </w:tc>
        <w:tc>
          <w:tcPr>
            <w:tcW w:w="2636" w:type="dxa"/>
            <w:vAlign w:val="center"/>
            <w:textDirection w:val="lrTb"/>
            <w:noWrap w:val="false"/>
          </w:tcPr>
          <w:p>
            <w:pPr>
              <w:tabs>
                <w:tab w:val="left" w:pos="1080" w:leader="none"/>
              </w:tabs>
              <w:rPr>
                <w:bCs/>
                <w:sz w:val="24"/>
              </w:rPr>
            </w:pPr>
            <w:r>
              <w:rPr>
                <w:rFonts w:hint="eastAsia"/>
                <w:bCs/>
                <w:sz w:val="24"/>
              </w:rPr>
              <w:t xml:space="preserve">1、供应商单独参与磋商的，应提供中小企业声明函；如为监狱企业或残疾人福利性单位，不必提供中小企业声明函，但须按注1或注2要求提供证明材料。</w:t>
            </w:r>
            <w:r/>
          </w:p>
          <w:p>
            <w:pPr>
              <w:tabs>
                <w:tab w:val="left" w:pos="1080" w:leader="none"/>
              </w:tabs>
              <w:rPr>
                <w:bCs/>
                <w:sz w:val="24"/>
              </w:rPr>
            </w:pPr>
            <w:r>
              <w:rPr>
                <w:rFonts w:hint="eastAsia"/>
                <w:bCs/>
                <w:sz w:val="24"/>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tabs>
                <w:tab w:val="left" w:pos="1080" w:leader="none"/>
              </w:tabs>
              <w:rPr>
                <w:bCs/>
                <w:sz w:val="24"/>
              </w:rPr>
            </w:pPr>
            <w:r>
              <w:rPr>
                <w:rFonts w:hint="eastAsia"/>
                <w:bCs/>
                <w:sz w:val="24"/>
              </w:rPr>
              <w:t xml:space="preserve">注1：监狱企业须提供由省级以上监狱管理局（常州市含教育矫治局）、戒毒管理局（含新疆生产建设兵团）出具的属于监狱企业的证明文件。</w:t>
            </w:r>
            <w:r/>
          </w:p>
          <w:p>
            <w:pPr>
              <w:tabs>
                <w:tab w:val="left" w:pos="1080" w:leader="none"/>
              </w:tabs>
              <w:rPr>
                <w:b/>
                <w:sz w:val="24"/>
              </w:rPr>
            </w:pPr>
            <w:r>
              <w:rPr>
                <w:rFonts w:hint="eastAsia"/>
                <w:bCs/>
                <w:sz w:val="24"/>
              </w:rPr>
              <w:t xml:space="preserve">注2：残疾人福利性单位须按磋商文件要求提供《残疾人福利性单位声明函》。</w:t>
            </w:r>
            <w:r/>
          </w:p>
        </w:tc>
        <w:tc>
          <w:tcPr>
            <w:tcW w:w="973" w:type="dxa"/>
            <w:vAlign w:val="center"/>
            <w:textDirection w:val="lrTb"/>
            <w:noWrap w:val="false"/>
          </w:tcPr>
          <w:p>
            <w:pPr>
              <w:tabs>
                <w:tab w:val="left" w:pos="1080" w:leader="none"/>
              </w:tabs>
              <w:rPr>
                <w:sz w:val="24"/>
              </w:rPr>
            </w:pPr>
            <w:r>
              <w:rPr>
                <w:sz w:val="24"/>
              </w:rPr>
              <w:t xml:space="preserve">格式见《响应文件格式》</w:t>
            </w:r>
            <w:r/>
          </w:p>
        </w:tc>
      </w:tr>
      <w:tr>
        <w:trPr>
          <w:cantSplit/>
          <w:trHeight w:val="20"/>
        </w:trPr>
        <w:tc>
          <w:tcPr>
            <w:tcW w:w="375" w:type="dxa"/>
            <w:vAlign w:val="center"/>
            <w:textDirection w:val="lrTb"/>
            <w:noWrap w:val="false"/>
          </w:tcPr>
          <w:p>
            <w:pPr>
              <w:jc w:val="center"/>
              <w:tabs>
                <w:tab w:val="left" w:pos="1080" w:leader="none"/>
              </w:tabs>
              <w:rPr>
                <w:sz w:val="24"/>
              </w:rPr>
            </w:pPr>
            <w:r>
              <w:rPr>
                <w:sz w:val="24"/>
              </w:rPr>
              <w:t xml:space="preserve">2-3</w:t>
            </w:r>
            <w:r/>
          </w:p>
        </w:tc>
        <w:tc>
          <w:tcPr>
            <w:tcW w:w="1014" w:type="dxa"/>
            <w:vAlign w:val="center"/>
            <w:textDirection w:val="lrTb"/>
            <w:noWrap w:val="false"/>
          </w:tcPr>
          <w:p>
            <w:pPr>
              <w:tabs>
                <w:tab w:val="left" w:pos="1080" w:leader="none"/>
              </w:tabs>
              <w:rPr>
                <w:sz w:val="24"/>
              </w:rPr>
            </w:pPr>
            <w:r>
              <w:rPr>
                <w:sz w:val="24"/>
              </w:rPr>
              <w:t xml:space="preserve">其它落实政府采购政策的资格要求</w:t>
            </w:r>
            <w:r/>
          </w:p>
        </w:tc>
        <w:tc>
          <w:tcPr>
            <w:tcW w:w="2636" w:type="dxa"/>
            <w:vAlign w:val="center"/>
            <w:textDirection w:val="lrTb"/>
            <w:noWrap w:val="false"/>
          </w:tcPr>
          <w:p>
            <w:pPr>
              <w:tabs>
                <w:tab w:val="left" w:pos="1080" w:leader="none"/>
              </w:tabs>
              <w:rPr>
                <w:sz w:val="24"/>
              </w:rPr>
            </w:pPr>
            <w:r>
              <w:rPr>
                <w:sz w:val="24"/>
              </w:rPr>
              <w:t xml:space="preserve">如有，见第一章《采购邀请》</w:t>
            </w:r>
            <w:r/>
          </w:p>
        </w:tc>
        <w:tc>
          <w:tcPr>
            <w:tcW w:w="973" w:type="dxa"/>
            <w:vAlign w:val="center"/>
            <w:textDirection w:val="lrTb"/>
            <w:noWrap w:val="false"/>
          </w:tcPr>
          <w:p>
            <w:pPr>
              <w:tabs>
                <w:tab w:val="left" w:pos="1080" w:leader="none"/>
              </w:tabs>
              <w:rPr>
                <w:sz w:val="24"/>
              </w:rPr>
            </w:pPr>
            <w:r>
              <w:rPr>
                <w:sz w:val="24"/>
              </w:rPr>
            </w:r>
            <w:r/>
          </w:p>
        </w:tc>
      </w:tr>
      <w:tr>
        <w:trPr>
          <w:cantSplit/>
          <w:trHeight w:val="20"/>
        </w:trPr>
        <w:tc>
          <w:tcPr>
            <w:tcW w:w="375" w:type="dxa"/>
            <w:vAlign w:val="center"/>
            <w:textDirection w:val="lrTb"/>
            <w:noWrap w:val="false"/>
          </w:tcPr>
          <w:p>
            <w:pPr>
              <w:jc w:val="center"/>
              <w:tabs>
                <w:tab w:val="left" w:pos="1080" w:leader="none"/>
              </w:tabs>
              <w:rPr>
                <w:sz w:val="24"/>
              </w:rPr>
            </w:pPr>
            <w:r>
              <w:rPr>
                <w:sz w:val="24"/>
              </w:rPr>
              <w:t xml:space="preserve">3</w:t>
            </w:r>
            <w:r/>
          </w:p>
        </w:tc>
        <w:tc>
          <w:tcPr>
            <w:tcW w:w="1014" w:type="dxa"/>
            <w:vAlign w:val="center"/>
            <w:textDirection w:val="lrTb"/>
            <w:noWrap w:val="false"/>
          </w:tcPr>
          <w:p>
            <w:pPr>
              <w:tabs>
                <w:tab w:val="left" w:pos="1080" w:leader="none"/>
              </w:tabs>
              <w:rPr>
                <w:sz w:val="24"/>
              </w:rPr>
            </w:pPr>
            <w:r>
              <w:rPr>
                <w:sz w:val="24"/>
              </w:rPr>
              <w:t xml:space="preserve">本项目的特定资格要求</w:t>
            </w:r>
            <w:r/>
          </w:p>
        </w:tc>
        <w:tc>
          <w:tcPr>
            <w:tcW w:w="2636" w:type="dxa"/>
            <w:vAlign w:val="center"/>
            <w:textDirection w:val="lrTb"/>
            <w:noWrap w:val="false"/>
          </w:tcPr>
          <w:p>
            <w:pPr>
              <w:tabs>
                <w:tab w:val="left" w:pos="1080" w:leader="none"/>
              </w:tabs>
              <w:rPr>
                <w:sz w:val="24"/>
              </w:rPr>
            </w:pPr>
            <w:r>
              <w:rPr>
                <w:sz w:val="24"/>
              </w:rPr>
              <w:t xml:space="preserve">如有，见第一章《采购邀请》</w:t>
            </w:r>
            <w:r/>
          </w:p>
        </w:tc>
        <w:tc>
          <w:tcPr>
            <w:tcW w:w="973" w:type="dxa"/>
            <w:vAlign w:val="center"/>
            <w:textDirection w:val="lrTb"/>
            <w:noWrap w:val="false"/>
          </w:tcPr>
          <w:p>
            <w:pPr>
              <w:tabs>
                <w:tab w:val="left" w:pos="1080" w:leader="none"/>
              </w:tabs>
              <w:rPr>
                <w:sz w:val="24"/>
              </w:rPr>
            </w:pPr>
            <w:r>
              <w:rPr>
                <w:sz w:val="24"/>
              </w:rPr>
            </w:r>
            <w:r/>
          </w:p>
        </w:tc>
      </w:tr>
      <w:tr>
        <w:trPr>
          <w:cantSplit/>
          <w:trHeight w:val="20"/>
        </w:trPr>
        <w:tc>
          <w:tcPr>
            <w:tcW w:w="375" w:type="dxa"/>
            <w:vAlign w:val="center"/>
            <w:textDirection w:val="lrTb"/>
            <w:noWrap w:val="false"/>
          </w:tcPr>
          <w:p>
            <w:pPr>
              <w:jc w:val="center"/>
              <w:tabs>
                <w:tab w:val="left" w:pos="1080" w:leader="none"/>
              </w:tabs>
              <w:rPr>
                <w:rFonts w:hint="eastAsia" w:eastAsia="宋体"/>
                <w:sz w:val="24"/>
                <w:lang w:eastAsia="zh-CN"/>
              </w:rPr>
            </w:pPr>
            <w:r>
              <w:rPr>
                <w:sz w:val="24"/>
              </w:rPr>
              <w:t xml:space="preserve">3-</w:t>
            </w:r>
            <w:r>
              <w:rPr>
                <w:rFonts w:hint="eastAsia"/>
                <w:sz w:val="24"/>
                <w:lang w:val="en-US" w:eastAsia="zh-CN"/>
              </w:rPr>
              <w:t xml:space="preserve">3</w:t>
            </w:r>
            <w:r/>
          </w:p>
        </w:tc>
        <w:tc>
          <w:tcPr>
            <w:tcW w:w="1014" w:type="dxa"/>
            <w:vAlign w:val="center"/>
            <w:textDirection w:val="lrTb"/>
            <w:noWrap w:val="false"/>
          </w:tcPr>
          <w:p>
            <w:pPr>
              <w:tabs>
                <w:tab w:val="left" w:pos="1080" w:leader="none"/>
              </w:tabs>
              <w:rPr>
                <w:sz w:val="24"/>
              </w:rPr>
            </w:pPr>
            <w:r>
              <w:rPr>
                <w:sz w:val="24"/>
              </w:rPr>
              <w:t xml:space="preserve">其他特定资格要求</w:t>
            </w:r>
            <w:r/>
          </w:p>
        </w:tc>
        <w:tc>
          <w:tcPr>
            <w:tcW w:w="2636" w:type="dxa"/>
            <w:vAlign w:val="center"/>
            <w:textDirection w:val="lrTb"/>
            <w:noWrap w:val="false"/>
          </w:tcPr>
          <w:p>
            <w:pPr>
              <w:tabs>
                <w:tab w:val="left" w:pos="1080" w:leader="none"/>
              </w:tabs>
              <w:rPr>
                <w:sz w:val="24"/>
              </w:rPr>
            </w:pPr>
            <w:r>
              <w:rPr>
                <w:color w:val="000000"/>
                <w:sz w:val="24"/>
              </w:rPr>
              <w:t xml:space="preserve">如有，见</w:t>
            </w:r>
            <w:r>
              <w:rPr>
                <w:sz w:val="24"/>
              </w:rPr>
              <w:t xml:space="preserve">第一章《采购邀请》</w:t>
            </w:r>
            <w:r/>
          </w:p>
        </w:tc>
        <w:tc>
          <w:tcPr>
            <w:tcW w:w="973" w:type="dxa"/>
            <w:vAlign w:val="center"/>
            <w:textDirection w:val="lrTb"/>
            <w:noWrap w:val="false"/>
          </w:tcPr>
          <w:p>
            <w:pPr>
              <w:tabs>
                <w:tab w:val="left" w:pos="1080" w:leader="none"/>
              </w:tabs>
              <w:rPr>
                <w:sz w:val="24"/>
              </w:rPr>
            </w:pPr>
            <w:r>
              <w:rPr>
                <w:sz w:val="24"/>
              </w:rPr>
            </w:r>
            <w:r/>
          </w:p>
        </w:tc>
      </w:tr>
    </w:tbl>
    <w:p>
      <w:pPr>
        <w:jc w:val="left"/>
        <w:widowControl/>
        <w:rPr>
          <w:sz w:val="24"/>
        </w:rPr>
      </w:pPr>
      <w:r>
        <w:rPr>
          <w:sz w:val="24"/>
        </w:rPr>
        <w:br w:type="page" w:clear="all"/>
      </w:r>
      <w:r/>
    </w:p>
    <w:p>
      <w:pPr>
        <w:numPr>
          <w:ilvl w:val="1"/>
          <w:numId w:val="11"/>
        </w:numPr>
        <w:ind w:left="1077" w:hanging="720"/>
        <w:spacing w:line="360" w:lineRule="auto"/>
        <w:tabs>
          <w:tab w:val="left" w:pos="1080" w:leader="none"/>
        </w:tabs>
        <w:rPr>
          <w:sz w:val="24"/>
        </w:rPr>
      </w:pPr>
      <w:r>
        <w:rPr>
          <w:sz w:val="24"/>
        </w:rPr>
        <w:t xml:space="preserve">《符合性审查要求》见下表：</w:t>
      </w:r>
      <w:r/>
    </w:p>
    <w:p>
      <w:pPr>
        <w:jc w:val="center"/>
        <w:spacing w:line="360" w:lineRule="auto"/>
        <w:widowControl/>
        <w:rPr>
          <w:b/>
          <w:color w:val="000000"/>
          <w:sz w:val="24"/>
        </w:rPr>
      </w:pPr>
      <w:r>
        <w:rPr>
          <w:b/>
          <w:color w:val="000000"/>
          <w:sz w:val="24"/>
        </w:rPr>
        <w:t xml:space="preserve">符合性审查要求</w:t>
      </w:r>
      <w:r/>
    </w:p>
    <w:tbl>
      <w:tblPr>
        <w:tblStyle w:val="85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7"/>
        <w:gridCol w:w="1664"/>
        <w:gridCol w:w="6172"/>
      </w:tblGrid>
      <w:tr>
        <w:trPr>
          <w:jc w:val="center"/>
          <w:trHeight w:val="300"/>
        </w:trPr>
        <w:tc>
          <w:tcPr>
            <w:tcW w:w="403" w:type="pct"/>
            <w:vAlign w:val="center"/>
            <w:textDirection w:val="lrTb"/>
            <w:noWrap w:val="false"/>
          </w:tcPr>
          <w:p>
            <w:pPr>
              <w:jc w:val="center"/>
              <w:widowControl/>
              <w:rPr>
                <w:rFonts w:hint="default" w:ascii="Times New Roman" w:hAnsi="Times New Roman" w:eastAsia="宋体" w:cs="Times New Roman"/>
                <w:b/>
                <w:color w:val="000000"/>
                <w:sz w:val="24"/>
              </w:rPr>
            </w:pPr>
            <w:r>
              <w:rPr>
                <w:rFonts w:hint="default" w:ascii="Times New Roman" w:hAnsi="Times New Roman" w:eastAsia="宋体" w:cs="Times New Roman"/>
                <w:b/>
                <w:color w:val="000000"/>
                <w:sz w:val="24"/>
              </w:rPr>
              <w:t xml:space="preserve">序号</w:t>
            </w:r>
            <w:r/>
          </w:p>
        </w:tc>
        <w:tc>
          <w:tcPr>
            <w:tcW w:w="976" w:type="pct"/>
            <w:vAlign w:val="center"/>
            <w:textDirection w:val="lrTb"/>
            <w:noWrap w:val="false"/>
          </w:tcPr>
          <w:p>
            <w:pPr>
              <w:jc w:val="center"/>
              <w:widowControl/>
              <w:rPr>
                <w:rFonts w:hint="default" w:ascii="Times New Roman" w:hAnsi="Times New Roman" w:eastAsia="宋体" w:cs="Times New Roman"/>
                <w:b/>
                <w:color w:val="000000"/>
                <w:sz w:val="24"/>
              </w:rPr>
            </w:pPr>
            <w:r>
              <w:rPr>
                <w:rFonts w:hint="default" w:ascii="Times New Roman" w:hAnsi="Times New Roman" w:eastAsia="宋体" w:cs="Times New Roman"/>
                <w:b/>
                <w:color w:val="000000"/>
                <w:sz w:val="24"/>
              </w:rPr>
              <w:t xml:space="preserve">审查因素</w:t>
            </w:r>
            <w:r/>
          </w:p>
        </w:tc>
        <w:tc>
          <w:tcPr>
            <w:tcW w:w="3620" w:type="pct"/>
            <w:vAlign w:val="center"/>
            <w:textDirection w:val="lrTb"/>
            <w:noWrap w:val="false"/>
          </w:tcPr>
          <w:p>
            <w:pPr>
              <w:jc w:val="center"/>
              <w:widowControl/>
              <w:rPr>
                <w:rFonts w:hint="default" w:ascii="Times New Roman" w:hAnsi="Times New Roman" w:eastAsia="宋体" w:cs="Times New Roman"/>
                <w:b/>
                <w:color w:val="000000"/>
                <w:sz w:val="24"/>
              </w:rPr>
            </w:pPr>
            <w:r>
              <w:rPr>
                <w:rFonts w:hint="default" w:ascii="Times New Roman" w:hAnsi="Times New Roman" w:eastAsia="宋体" w:cs="Times New Roman"/>
                <w:b/>
                <w:color w:val="000000"/>
                <w:sz w:val="24"/>
              </w:rPr>
              <w:t xml:space="preserve">审查内容</w:t>
            </w:r>
            <w:r/>
          </w:p>
        </w:tc>
      </w:tr>
      <w:tr>
        <w:trPr>
          <w:jc w:val="center"/>
          <w:trHeight w:val="685"/>
        </w:trPr>
        <w:tc>
          <w:tcPr>
            <w:tcW w:w="403" w:type="pct"/>
            <w:vAlign w:val="center"/>
            <w:textDirection w:val="lrTb"/>
            <w:noWrap w:val="false"/>
          </w:tcPr>
          <w:p>
            <w:pPr>
              <w:jc w:val="center"/>
              <w:widowControl/>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1</w:t>
            </w:r>
            <w:r/>
          </w:p>
        </w:tc>
        <w:tc>
          <w:tcPr>
            <w:tcW w:w="976" w:type="pct"/>
            <w:vAlign w:val="center"/>
            <w:textDirection w:val="lrTb"/>
            <w:noWrap w:val="false"/>
          </w:tcPr>
          <w:p>
            <w:pPr>
              <w:jc w:val="left"/>
              <w:widowControl/>
              <w:rPr>
                <w:rFonts w:hint="default"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响应函、</w:t>
            </w:r>
            <w:r>
              <w:rPr>
                <w:rFonts w:hint="eastAsia" w:ascii="Times New Roman" w:hAnsi="Times New Roman" w:eastAsia="宋体" w:cs="Times New Roman"/>
                <w:color w:val="000000"/>
                <w:sz w:val="24"/>
              </w:rPr>
              <w:t xml:space="preserve">法定代表人资格证明书和政府采购供应商信用承诺书</w:t>
            </w:r>
            <w:r/>
          </w:p>
        </w:tc>
        <w:tc>
          <w:tcPr>
            <w:tcW w:w="3620" w:type="pct"/>
            <w:vAlign w:val="center"/>
            <w:textDirection w:val="lrTb"/>
            <w:noWrap w:val="false"/>
          </w:tcPr>
          <w:p>
            <w:pPr>
              <w:jc w:val="left"/>
              <w:widowControl/>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按磋商文件要求提供</w:t>
            </w:r>
            <w:r>
              <w:rPr>
                <w:rFonts w:hint="eastAsia" w:ascii="Times New Roman" w:hAnsi="Times New Roman" w:eastAsia="宋体" w:cs="Times New Roman"/>
                <w:color w:val="000000"/>
                <w:sz w:val="24"/>
              </w:rPr>
              <w:t xml:space="preserve">响应函、</w:t>
            </w:r>
            <w:r>
              <w:rPr>
                <w:rFonts w:hint="eastAsia" w:ascii="Times New Roman" w:hAnsi="Times New Roman" w:eastAsia="宋体" w:cs="Times New Roman"/>
                <w:color w:val="000000"/>
                <w:sz w:val="24"/>
              </w:rPr>
              <w:t xml:space="preserve">法定代表人资格证明书和政府采购供应商信用承诺书</w:t>
            </w:r>
            <w:r>
              <w:rPr>
                <w:rFonts w:hint="default" w:ascii="Times New Roman" w:hAnsi="Times New Roman" w:eastAsia="宋体" w:cs="Times New Roman"/>
                <w:color w:val="000000"/>
                <w:sz w:val="24"/>
              </w:rPr>
              <w:t xml:space="preserve">；</w:t>
            </w:r>
            <w:r/>
          </w:p>
        </w:tc>
      </w:tr>
      <w:tr>
        <w:trPr>
          <w:jc w:val="center"/>
          <w:trHeight w:val="685"/>
        </w:trPr>
        <w:tc>
          <w:tcPr>
            <w:tcW w:w="403" w:type="pct"/>
            <w:vAlign w:val="center"/>
            <w:textDirection w:val="lrTb"/>
            <w:noWrap w:val="false"/>
          </w:tcPr>
          <w:p>
            <w:pPr>
              <w:jc w:val="center"/>
              <w:widowControl/>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2</w:t>
            </w:r>
            <w:r/>
          </w:p>
        </w:tc>
        <w:tc>
          <w:tcPr>
            <w:tcW w:w="976" w:type="pct"/>
            <w:vAlign w:val="center"/>
            <w:textDirection w:val="lrTb"/>
            <w:noWrap w:val="false"/>
          </w:tcPr>
          <w:p>
            <w:pPr>
              <w:jc w:val="left"/>
              <w:widowControl/>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响应完整性</w:t>
            </w:r>
            <w:r/>
          </w:p>
        </w:tc>
        <w:tc>
          <w:tcPr>
            <w:tcW w:w="3620" w:type="pct"/>
            <w:vAlign w:val="center"/>
            <w:textDirection w:val="lrTb"/>
            <w:noWrap w:val="false"/>
          </w:tcPr>
          <w:p>
            <w:pPr>
              <w:jc w:val="left"/>
              <w:widowControl/>
              <w:rPr>
                <w:rFonts w:hint="default" w:ascii="Times New Roman" w:hAnsi="Times New Roman" w:eastAsia="宋体" w:cs="Times New Roman"/>
                <w:color w:val="000000"/>
                <w:sz w:val="24"/>
              </w:rPr>
            </w:pPr>
            <w:r>
              <w:rPr>
                <w:rFonts w:hint="eastAsia" w:ascii="Times New Roman" w:hAnsi="Times New Roman" w:eastAsia="宋体" w:cs="Times New Roman"/>
                <w:sz w:val="24"/>
              </w:rPr>
              <w:t xml:space="preserve">未</w:t>
            </w:r>
            <w:r>
              <w:rPr>
                <w:rFonts w:hint="default" w:ascii="Times New Roman" w:hAnsi="Times New Roman" w:eastAsia="宋体" w:cs="Times New Roman"/>
                <w:sz w:val="24"/>
              </w:rPr>
              <w:t xml:space="preserve">将一个采购包中的内容拆开响应；</w:t>
            </w:r>
            <w:r/>
          </w:p>
        </w:tc>
      </w:tr>
      <w:tr>
        <w:trPr>
          <w:jc w:val="center"/>
          <w:trHeight w:val="685"/>
        </w:trPr>
        <w:tc>
          <w:tcPr>
            <w:tcW w:w="403" w:type="pct"/>
            <w:vAlign w:val="center"/>
            <w:textDirection w:val="lrTb"/>
            <w:noWrap w:val="false"/>
          </w:tcPr>
          <w:p>
            <w:pPr>
              <w:jc w:val="center"/>
              <w:widowControl/>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3</w:t>
            </w:r>
            <w:r/>
          </w:p>
        </w:tc>
        <w:tc>
          <w:tcPr>
            <w:tcW w:w="976" w:type="pct"/>
            <w:vAlign w:val="center"/>
            <w:textDirection w:val="lrTb"/>
            <w:noWrap w:val="false"/>
          </w:tcPr>
          <w:p>
            <w:pPr>
              <w:jc w:val="left"/>
              <w:widowControl/>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响应报价</w:t>
            </w:r>
            <w:r/>
          </w:p>
        </w:tc>
        <w:tc>
          <w:tcPr>
            <w:tcW w:w="3620" w:type="pct"/>
            <w:vAlign w:val="center"/>
            <w:textDirection w:val="lrTb"/>
            <w:noWrap w:val="false"/>
          </w:tcPr>
          <w:p>
            <w:pPr>
              <w:jc w:val="left"/>
              <w:widowControl/>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响应报价</w:t>
            </w:r>
            <w:r>
              <w:rPr>
                <w:rFonts w:hint="eastAsia" w:ascii="Times New Roman" w:hAnsi="Times New Roman" w:eastAsia="宋体" w:cs="Times New Roman"/>
                <w:color w:val="000000"/>
                <w:sz w:val="24"/>
              </w:rPr>
              <w:t xml:space="preserve">未</w:t>
            </w:r>
            <w:r>
              <w:rPr>
                <w:rFonts w:hint="default" w:ascii="Times New Roman" w:hAnsi="Times New Roman" w:eastAsia="宋体" w:cs="Times New Roman"/>
                <w:color w:val="000000"/>
                <w:sz w:val="24"/>
              </w:rPr>
              <w:t xml:space="preserve">超过磋商文件中规定的项目/采购包预算金额或者项目/采购包最高限价</w:t>
            </w:r>
            <w:r>
              <w:rPr>
                <w:rFonts w:hint="default" w:ascii="Times New Roman" w:hAnsi="Times New Roman" w:eastAsia="宋体" w:cs="Times New Roman"/>
                <w:color w:val="000000"/>
                <w:sz w:val="24"/>
              </w:rPr>
              <w:t xml:space="preserve">；</w:t>
            </w:r>
            <w:r/>
          </w:p>
        </w:tc>
      </w:tr>
      <w:tr>
        <w:trPr>
          <w:jc w:val="center"/>
          <w:trHeight w:val="685"/>
        </w:trPr>
        <w:tc>
          <w:tcPr>
            <w:tcW w:w="403" w:type="pct"/>
            <w:vAlign w:val="center"/>
            <w:textDirection w:val="lrTb"/>
            <w:noWrap w:val="false"/>
          </w:tcPr>
          <w:p>
            <w:pPr>
              <w:jc w:val="center"/>
              <w:widowControl/>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4</w:t>
            </w:r>
            <w:r/>
          </w:p>
        </w:tc>
        <w:tc>
          <w:tcPr>
            <w:tcW w:w="976" w:type="pct"/>
            <w:vAlign w:val="center"/>
            <w:textDirection w:val="lrTb"/>
            <w:noWrap w:val="false"/>
          </w:tcPr>
          <w:p>
            <w:pPr>
              <w:jc w:val="left"/>
              <w:widowControl/>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报价唯一性</w:t>
            </w:r>
            <w:r/>
          </w:p>
        </w:tc>
        <w:tc>
          <w:tcPr>
            <w:tcW w:w="3620" w:type="pct"/>
            <w:vAlign w:val="center"/>
            <w:textDirection w:val="lrTb"/>
            <w:noWrap w:val="false"/>
          </w:tcPr>
          <w:p>
            <w:pPr>
              <w:jc w:val="left"/>
              <w:widowControl/>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响应文件</w:t>
            </w:r>
            <w:r>
              <w:rPr>
                <w:rFonts w:hint="eastAsia" w:ascii="Times New Roman" w:hAnsi="Times New Roman" w:eastAsia="宋体" w:cs="Times New Roman"/>
                <w:color w:val="000000"/>
                <w:sz w:val="24"/>
              </w:rPr>
              <w:t xml:space="preserve">未</w:t>
            </w:r>
            <w:r>
              <w:rPr>
                <w:rFonts w:hint="eastAsia" w:ascii="Times New Roman" w:hAnsi="Times New Roman" w:eastAsia="宋体" w:cs="Times New Roman"/>
                <w:sz w:val="24"/>
              </w:rPr>
              <w:t xml:space="preserve">出现可选择性或可调整的报价（磋商文件另有规定的除外）</w:t>
            </w:r>
            <w:r>
              <w:rPr>
                <w:rFonts w:hint="default" w:ascii="Times New Roman" w:hAnsi="Times New Roman" w:eastAsia="宋体" w:cs="Times New Roman"/>
                <w:color w:val="000000"/>
                <w:sz w:val="24"/>
              </w:rPr>
              <w:t xml:space="preserve">；</w:t>
            </w:r>
            <w:r/>
          </w:p>
        </w:tc>
      </w:tr>
      <w:tr>
        <w:trPr>
          <w:jc w:val="center"/>
          <w:trHeight w:val="685"/>
        </w:trPr>
        <w:tc>
          <w:tcPr>
            <w:tcW w:w="403" w:type="pct"/>
            <w:vAlign w:val="center"/>
            <w:textDirection w:val="lrTb"/>
            <w:noWrap w:val="false"/>
          </w:tcPr>
          <w:p>
            <w:pPr>
              <w:jc w:val="center"/>
              <w:widowControl/>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5</w:t>
            </w:r>
            <w:r/>
          </w:p>
        </w:tc>
        <w:tc>
          <w:tcPr>
            <w:tcW w:w="976" w:type="pct"/>
            <w:vAlign w:val="center"/>
            <w:textDirection w:val="lrTb"/>
            <w:noWrap w:val="false"/>
          </w:tcPr>
          <w:p>
            <w:pPr>
              <w:jc w:val="left"/>
              <w:widowControl/>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响应有效期</w:t>
            </w:r>
            <w:r/>
          </w:p>
        </w:tc>
        <w:tc>
          <w:tcPr>
            <w:tcW w:w="3620" w:type="pct"/>
            <w:vAlign w:val="center"/>
            <w:textDirection w:val="lrTb"/>
            <w:noWrap w:val="false"/>
          </w:tcPr>
          <w:p>
            <w:pPr>
              <w:jc w:val="left"/>
              <w:widowControl/>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响应文件中承诺的响应有效期</w:t>
            </w:r>
            <w:r>
              <w:rPr>
                <w:rFonts w:hint="eastAsia" w:ascii="Times New Roman" w:hAnsi="Times New Roman" w:eastAsia="宋体" w:cs="Times New Roman"/>
                <w:color w:val="000000"/>
                <w:sz w:val="24"/>
              </w:rPr>
              <w:t xml:space="preserve">满足</w:t>
            </w:r>
            <w:r>
              <w:rPr>
                <w:rFonts w:hint="default" w:ascii="Times New Roman" w:hAnsi="Times New Roman" w:eastAsia="宋体" w:cs="Times New Roman"/>
                <w:color w:val="000000"/>
                <w:sz w:val="24"/>
              </w:rPr>
              <w:t xml:space="preserve">磋商文件中载明的响应有效期的；</w:t>
            </w:r>
            <w:r/>
          </w:p>
        </w:tc>
      </w:tr>
      <w:tr>
        <w:trPr>
          <w:jc w:val="center"/>
          <w:trHeight w:val="685"/>
        </w:trPr>
        <w:tc>
          <w:tcPr>
            <w:tcW w:w="403" w:type="pct"/>
            <w:vAlign w:val="center"/>
            <w:textDirection w:val="lrTb"/>
            <w:noWrap w:val="false"/>
          </w:tcPr>
          <w:p>
            <w:pPr>
              <w:jc w:val="center"/>
              <w:widowControl/>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6</w:t>
            </w:r>
            <w:r/>
          </w:p>
        </w:tc>
        <w:tc>
          <w:tcPr>
            <w:tcW w:w="976" w:type="pct"/>
            <w:vAlign w:val="center"/>
            <w:textDirection w:val="lrTb"/>
            <w:noWrap w:val="false"/>
          </w:tcPr>
          <w:p>
            <w:pPr>
              <w:jc w:val="left"/>
              <w:widowControl/>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签署、加盖公章</w:t>
            </w:r>
            <w:r/>
          </w:p>
        </w:tc>
        <w:tc>
          <w:tcPr>
            <w:tcW w:w="3620" w:type="pct"/>
            <w:vAlign w:val="center"/>
            <w:textDirection w:val="lrTb"/>
            <w:noWrap w:val="false"/>
          </w:tcPr>
          <w:p>
            <w:pPr>
              <w:jc w:val="left"/>
              <w:widowControl/>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按照磋商文件要求签署、加盖公章的；</w:t>
            </w:r>
            <w:r/>
          </w:p>
        </w:tc>
      </w:tr>
      <w:tr>
        <w:trPr>
          <w:jc w:val="center"/>
          <w:trHeight w:val="685"/>
        </w:trPr>
        <w:tc>
          <w:tcPr>
            <w:tcW w:w="403" w:type="pct"/>
            <w:vAlign w:val="center"/>
            <w:textDirection w:val="lrTb"/>
            <w:noWrap w:val="false"/>
          </w:tcPr>
          <w:p>
            <w:pPr>
              <w:jc w:val="center"/>
              <w:widowControl/>
              <w:rPr>
                <w:rFonts w:hint="default"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7</w:t>
            </w:r>
            <w:r/>
          </w:p>
        </w:tc>
        <w:tc>
          <w:tcPr>
            <w:tcW w:w="976" w:type="pct"/>
            <w:vAlign w:val="center"/>
            <w:textDirection w:val="lrTb"/>
            <w:noWrap w:val="false"/>
          </w:tcPr>
          <w:p>
            <w:pPr>
              <w:jc w:val="left"/>
              <w:widowControl/>
              <w:rPr>
                <w:rFonts w:hint="default"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实质性格式</w:t>
            </w:r>
            <w:r/>
          </w:p>
        </w:tc>
        <w:tc>
          <w:tcPr>
            <w:tcW w:w="3620" w:type="pct"/>
            <w:vAlign w:val="center"/>
            <w:textDirection w:val="lrTb"/>
            <w:noWrap w:val="false"/>
          </w:tcPr>
          <w:p>
            <w:pPr>
              <w:jc w:val="left"/>
              <w:widowControl/>
              <w:rPr>
                <w:rFonts w:hint="default" w:ascii="Times New Roman" w:hAnsi="Times New Roman" w:eastAsia="宋体" w:cs="Times New Roman"/>
                <w:color w:val="000000"/>
                <w:sz w:val="24"/>
              </w:rPr>
            </w:pPr>
            <w:r>
              <w:rPr>
                <w:rFonts w:hint="eastAsia" w:ascii="Times New Roman" w:hAnsi="Times New Roman" w:eastAsia="宋体" w:cs="Times New Roman"/>
                <w:sz w:val="24"/>
              </w:rPr>
              <w:t xml:space="preserve">标记为</w:t>
            </w:r>
            <w:r>
              <w:rPr>
                <w:rFonts w:hint="default" w:ascii="Times New Roman" w:hAnsi="Times New Roman" w:eastAsia="宋体" w:cs="Times New Roman"/>
                <w:sz w:val="24"/>
              </w:rPr>
              <w:t xml:space="preserve">“实质性格式”的</w:t>
            </w:r>
            <w:r>
              <w:rPr>
                <w:rFonts w:hint="eastAsia" w:ascii="Times New Roman" w:hAnsi="Times New Roman" w:eastAsia="宋体" w:cs="Times New Roman"/>
                <w:sz w:val="24"/>
              </w:rPr>
              <w:t xml:space="preserve">文件均按</w:t>
            </w:r>
            <w:r>
              <w:rPr>
                <w:rFonts w:hint="default" w:ascii="Times New Roman" w:hAnsi="Times New Roman" w:eastAsia="宋体" w:cs="Times New Roman"/>
                <w:sz w:val="24"/>
              </w:rPr>
              <w:t xml:space="preserve">磋商文件</w:t>
            </w:r>
            <w:r>
              <w:rPr>
                <w:rFonts w:hint="eastAsia" w:ascii="Times New Roman" w:hAnsi="Times New Roman" w:eastAsia="宋体" w:cs="Times New Roman"/>
                <w:sz w:val="24"/>
              </w:rPr>
              <w:t xml:space="preserve">要求提供；</w:t>
            </w:r>
            <w:r/>
          </w:p>
        </w:tc>
      </w:tr>
      <w:tr>
        <w:trPr>
          <w:jc w:val="center"/>
          <w:trHeight w:val="685"/>
        </w:trPr>
        <w:tc>
          <w:tcPr>
            <w:tcW w:w="403" w:type="pct"/>
            <w:vAlign w:val="center"/>
            <w:textDirection w:val="lrTb"/>
            <w:noWrap w:val="false"/>
          </w:tcPr>
          <w:p>
            <w:pPr>
              <w:jc w:val="center"/>
              <w:widowControl/>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8</w:t>
            </w:r>
            <w:r/>
          </w:p>
        </w:tc>
        <w:tc>
          <w:tcPr>
            <w:tcW w:w="976" w:type="pct"/>
            <w:vAlign w:val="center"/>
            <w:textDirection w:val="lrTb"/>
            <w:noWrap w:val="false"/>
          </w:tcPr>
          <w:p>
            <w:pPr>
              <w:jc w:val="left"/>
              <w:widowControl/>
              <w:rPr>
                <w:rFonts w:hint="default" w:ascii="Times New Roman" w:hAnsi="Times New Roman" w:eastAsia="宋体" w:cs="Times New Roman"/>
                <w:color w:val="000000"/>
                <w:sz w:val="24"/>
              </w:rPr>
            </w:pPr>
            <w:r>
              <w:rPr>
                <w:rFonts w:hint="default" w:ascii="Segoe UI Symbol" w:hAnsi="Segoe UI Symbol" w:eastAsia="宋体" w:cs="Segoe UI Symbol"/>
                <w:color w:val="000000"/>
                <w:sz w:val="24"/>
              </w:rPr>
              <w:t xml:space="preserve">★</w:t>
            </w:r>
            <w:r>
              <w:rPr>
                <w:rFonts w:hint="default" w:ascii="Times New Roman" w:hAnsi="Times New Roman" w:eastAsia="宋体" w:cs="Times New Roman"/>
                <w:color w:val="000000"/>
                <w:sz w:val="24"/>
              </w:rPr>
              <w:t xml:space="preserve">号条款响应</w:t>
            </w:r>
            <w:r/>
          </w:p>
        </w:tc>
        <w:tc>
          <w:tcPr>
            <w:tcW w:w="3620" w:type="pct"/>
            <w:vAlign w:val="center"/>
            <w:textDirection w:val="lrTb"/>
            <w:noWrap w:val="false"/>
          </w:tcPr>
          <w:p>
            <w:pPr>
              <w:jc w:val="left"/>
              <w:widowControl/>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响应文件满足磋商文件</w:t>
            </w:r>
            <w:r>
              <w:rPr>
                <w:rFonts w:hint="default" w:ascii="Times New Roman" w:hAnsi="Times New Roman" w:eastAsia="宋体" w:cs="Times New Roman"/>
                <w:sz w:val="24"/>
              </w:rPr>
              <w:t xml:space="preserve">第五章《采购需求》</w:t>
            </w:r>
            <w:r>
              <w:rPr>
                <w:rFonts w:hint="default" w:ascii="Times New Roman" w:hAnsi="Times New Roman" w:eastAsia="宋体" w:cs="Times New Roman"/>
                <w:color w:val="000000"/>
                <w:sz w:val="24"/>
              </w:rPr>
              <w:t xml:space="preserve">中</w:t>
            </w:r>
            <w:r>
              <w:rPr>
                <w:rFonts w:hint="default" w:ascii="Segoe UI Symbol" w:hAnsi="Segoe UI Symbol" w:eastAsia="宋体" w:cs="Segoe UI Symbol"/>
                <w:color w:val="000000"/>
                <w:sz w:val="24"/>
              </w:rPr>
              <w:t xml:space="preserve">★</w:t>
            </w:r>
            <w:r>
              <w:rPr>
                <w:rFonts w:hint="default" w:ascii="Times New Roman" w:hAnsi="Times New Roman" w:eastAsia="宋体" w:cs="Times New Roman"/>
                <w:color w:val="000000"/>
                <w:sz w:val="24"/>
              </w:rPr>
              <w:t xml:space="preserve">号条款要求的；</w:t>
            </w:r>
            <w:r/>
          </w:p>
        </w:tc>
      </w:tr>
      <w:tr>
        <w:trPr>
          <w:jc w:val="center"/>
          <w:trHeight w:val="685"/>
        </w:trPr>
        <w:tc>
          <w:tcPr>
            <w:tcW w:w="403" w:type="pct"/>
            <w:vAlign w:val="center"/>
            <w:textDirection w:val="lrTb"/>
            <w:noWrap w:val="false"/>
          </w:tcPr>
          <w:p>
            <w:pPr>
              <w:jc w:val="center"/>
              <w:widowControl/>
              <w:rPr>
                <w:rFonts w:hint="eastAsia" w:ascii="Times New Roman" w:hAnsi="Times New Roman" w:eastAsia="宋体" w:cs="Times New Roman"/>
                <w:color w:val="000000"/>
                <w:sz w:val="24"/>
                <w:lang w:eastAsia="zh-CN"/>
              </w:rPr>
            </w:pPr>
            <w:r>
              <w:rPr>
                <w:rFonts w:hint="eastAsia" w:eastAsia="宋体" w:cs="Times New Roman"/>
                <w:color w:val="000000"/>
                <w:sz w:val="24"/>
                <w:lang w:val="en-US" w:eastAsia="zh-CN"/>
              </w:rPr>
              <w:t xml:space="preserve">9</w:t>
            </w:r>
            <w:r/>
          </w:p>
        </w:tc>
        <w:tc>
          <w:tcPr>
            <w:tcW w:w="976" w:type="pct"/>
            <w:vAlign w:val="center"/>
            <w:textDirection w:val="lrTb"/>
            <w:noWrap w:val="false"/>
          </w:tcPr>
          <w:p>
            <w:pPr>
              <w:jc w:val="left"/>
              <w:widowControl/>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报价的修正（如有）</w:t>
            </w:r>
            <w:r/>
          </w:p>
        </w:tc>
        <w:tc>
          <w:tcPr>
            <w:tcW w:w="3620" w:type="pct"/>
            <w:vAlign w:val="center"/>
            <w:textDirection w:val="lrTb"/>
            <w:noWrap w:val="false"/>
          </w:tcPr>
          <w:p>
            <w:pPr>
              <w:jc w:val="left"/>
              <w:widowControl/>
              <w:rPr>
                <w:rFonts w:hint="default"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不涉及报价修正</w:t>
            </w:r>
            <w:r>
              <w:rPr>
                <w:rFonts w:hint="default" w:ascii="Times New Roman" w:hAnsi="Times New Roman" w:eastAsia="宋体" w:cs="Times New Roman"/>
                <w:color w:val="000000"/>
                <w:sz w:val="24"/>
              </w:rPr>
              <w:t xml:space="preserve">，或响应文件报价出现前后不一致</w:t>
            </w:r>
            <w:r>
              <w:rPr>
                <w:rFonts w:hint="eastAsia" w:ascii="Times New Roman" w:hAnsi="Times New Roman" w:eastAsia="宋体" w:cs="Times New Roman"/>
                <w:color w:val="000000"/>
                <w:sz w:val="24"/>
              </w:rPr>
              <w:t xml:space="preserve">时</w:t>
            </w:r>
            <w:r>
              <w:rPr>
                <w:rFonts w:hint="default" w:ascii="Times New Roman" w:hAnsi="Times New Roman" w:eastAsia="宋体" w:cs="Times New Roman"/>
                <w:color w:val="000000"/>
                <w:sz w:val="24"/>
              </w:rPr>
              <w:t xml:space="preserve">，供应商对修正后的报价予</w:t>
            </w:r>
            <w:r>
              <w:rPr>
                <w:rFonts w:hint="eastAsia" w:ascii="Times New Roman" w:hAnsi="Times New Roman" w:eastAsia="宋体" w:cs="Times New Roman"/>
                <w:color w:val="000000"/>
                <w:sz w:val="24"/>
              </w:rPr>
              <w:t xml:space="preserve">以</w:t>
            </w:r>
            <w:r>
              <w:rPr>
                <w:rFonts w:hint="default" w:ascii="Times New Roman" w:hAnsi="Times New Roman" w:eastAsia="宋体" w:cs="Times New Roman"/>
                <w:color w:val="000000"/>
                <w:sz w:val="24"/>
              </w:rPr>
              <w:t xml:space="preserve">确认；（如有）</w:t>
            </w:r>
            <w:r/>
          </w:p>
        </w:tc>
      </w:tr>
      <w:tr>
        <w:trPr>
          <w:jc w:val="center"/>
          <w:trHeight w:val="685"/>
        </w:trPr>
        <w:tc>
          <w:tcPr>
            <w:tcW w:w="403" w:type="pct"/>
            <w:vAlign w:val="center"/>
            <w:textDirection w:val="lrTb"/>
            <w:noWrap w:val="false"/>
          </w:tcPr>
          <w:p>
            <w:pPr>
              <w:jc w:val="center"/>
              <w:widowControl/>
              <w:rPr>
                <w:rFonts w:hint="eastAsia" w:ascii="Times New Roman" w:hAnsi="Times New Roman" w:eastAsia="宋体" w:cs="Times New Roman"/>
                <w:color w:val="000000"/>
                <w:sz w:val="24"/>
                <w:lang w:eastAsia="zh-CN"/>
              </w:rPr>
            </w:pPr>
            <w:r>
              <w:rPr>
                <w:rFonts w:hint="default" w:ascii="Times New Roman" w:hAnsi="Times New Roman" w:eastAsia="宋体" w:cs="Times New Roman"/>
                <w:color w:val="000000"/>
                <w:sz w:val="24"/>
              </w:rPr>
              <w:t xml:space="preserve">1</w:t>
            </w:r>
            <w:r>
              <w:rPr>
                <w:rFonts w:hint="eastAsia" w:eastAsia="宋体" w:cs="Times New Roman"/>
                <w:color w:val="000000"/>
                <w:sz w:val="24"/>
                <w:lang w:val="en-US" w:eastAsia="zh-CN"/>
              </w:rPr>
              <w:t xml:space="preserve">0</w:t>
            </w:r>
            <w:r/>
          </w:p>
        </w:tc>
        <w:tc>
          <w:tcPr>
            <w:tcW w:w="976" w:type="pct"/>
            <w:vAlign w:val="center"/>
            <w:textDirection w:val="lrTb"/>
            <w:noWrap w:val="false"/>
          </w:tcPr>
          <w:p>
            <w:pPr>
              <w:jc w:val="left"/>
              <w:widowControl/>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国家有关部门对供应商的响应产品有强制性规定或要求的</w:t>
            </w:r>
            <w:r/>
          </w:p>
        </w:tc>
        <w:tc>
          <w:tcPr>
            <w:tcW w:w="3620" w:type="pct"/>
            <w:vAlign w:val="center"/>
            <w:textDirection w:val="lrTb"/>
            <w:noWrap w:val="false"/>
          </w:tcPr>
          <w:p>
            <w:pPr>
              <w:jc w:val="left"/>
              <w:widowControl/>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国家有关部门对供应商的响应产品有强制性规定或要求的（如相应技术、安全、节能和环保等），供应商的响应产品</w:t>
            </w:r>
            <w:r>
              <w:rPr>
                <w:rFonts w:hint="eastAsia" w:ascii="Times New Roman" w:hAnsi="Times New Roman" w:eastAsia="宋体" w:cs="Times New Roman"/>
                <w:color w:val="000000"/>
                <w:sz w:val="24"/>
              </w:rPr>
              <w:t xml:space="preserve">应</w:t>
            </w:r>
            <w:r>
              <w:rPr>
                <w:rFonts w:hint="default" w:ascii="Times New Roman" w:hAnsi="Times New Roman" w:eastAsia="宋体" w:cs="Times New Roman"/>
                <w:color w:val="000000"/>
                <w:sz w:val="24"/>
              </w:rPr>
              <w:t xml:space="preserve">符合相应规定或要求</w:t>
            </w:r>
            <w:r>
              <w:rPr>
                <w:rFonts w:hint="eastAsia" w:ascii="Times New Roman" w:hAnsi="Times New Roman" w:eastAsia="宋体" w:cs="Times New Roman"/>
                <w:color w:val="000000"/>
                <w:sz w:val="24"/>
              </w:rPr>
              <w:t xml:space="preserve">，并提供证明文件电子件：</w:t>
            </w:r>
            <w:r/>
          </w:p>
          <w:p>
            <w:pPr>
              <w:jc w:val="left"/>
              <w:widowControl/>
              <w:rPr>
                <w:rFonts w:hint="default"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w:t>
            </w:r>
            <w:r>
              <w:rPr>
                <w:rFonts w:hint="default" w:ascii="Times New Roman" w:hAnsi="Times New Roman" w:eastAsia="宋体" w:cs="Times New Roman"/>
                <w:color w:val="000000"/>
                <w:sz w:val="24"/>
              </w:rPr>
              <w:t xml:space="preserve">采购的产品若属于《节能产品政府采购品目清单》范围中政府强制采购产品，则供应商所报产品必须获得国家确定的认证机构出具的、处于有效期之内的节能产品认证证书；</w:t>
            </w:r>
            <w:r/>
          </w:p>
          <w:p>
            <w:pPr>
              <w:jc w:val="left"/>
              <w:widowControl/>
              <w:rPr>
                <w:rFonts w:hint="default"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2）</w:t>
            </w:r>
            <w:r>
              <w:rPr>
                <w:rFonts w:hint="default" w:ascii="Times New Roman" w:hAnsi="Times New Roman" w:eastAsia="宋体" w:cs="Times New Roman"/>
                <w:color w:val="000000"/>
                <w:sz w:val="24"/>
              </w:rPr>
              <w:t xml:space="preserve">响应产品如涉及计算机信息系统安全专用产品的，须</w:t>
            </w:r>
            <w:r>
              <w:rPr>
                <w:rFonts w:hint="eastAsia" w:ascii="Times New Roman" w:hAnsi="Times New Roman" w:eastAsia="宋体" w:cs="Times New Roman"/>
                <w:color w:val="000000"/>
                <w:sz w:val="24"/>
              </w:rPr>
              <w:t xml:space="preserve">提供</w:t>
            </w:r>
            <w:r>
              <w:rPr>
                <w:rFonts w:hint="default" w:ascii="Times New Roman" w:hAnsi="Times New Roman" w:eastAsia="宋体" w:cs="Times New Roman"/>
                <w:color w:val="000000"/>
                <w:sz w:val="24"/>
              </w:rPr>
              <w:t xml:space="preserve">公安部颁发的计算机信息系统安全专用产品销售许可证；</w:t>
            </w:r>
            <w:r/>
          </w:p>
          <w:p>
            <w:pPr>
              <w:jc w:val="left"/>
              <w:widowControl/>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3</w:t>
            </w:r>
            <w:r>
              <w:rPr>
                <w:rFonts w:hint="eastAsia" w:ascii="Times New Roman" w:hAnsi="Times New Roman" w:eastAsia="宋体" w:cs="Times New Roman"/>
                <w:color w:val="000000"/>
                <w:sz w:val="24"/>
              </w:rPr>
              <w:t xml:space="preserve">）</w:t>
            </w:r>
            <w:r>
              <w:rPr>
                <w:rFonts w:hint="default" w:ascii="Times New Roman" w:hAnsi="Times New Roman" w:eastAsia="宋体" w:cs="Times New Roman"/>
                <w:color w:val="000000"/>
                <w:sz w:val="24"/>
              </w:rPr>
              <w:t xml:space="preserve">响应产品如有属于开展国家信息安全产品认证产品范围的，须</w:t>
            </w:r>
            <w:r>
              <w:rPr>
                <w:rFonts w:hint="eastAsia" w:ascii="Times New Roman" w:hAnsi="Times New Roman" w:eastAsia="宋体" w:cs="Times New Roman"/>
                <w:color w:val="000000"/>
                <w:sz w:val="24"/>
              </w:rPr>
              <w:t xml:space="preserve">提供</w:t>
            </w:r>
            <w:r>
              <w:rPr>
                <w:rFonts w:hint="default" w:ascii="Times New Roman" w:hAnsi="Times New Roman" w:eastAsia="宋体" w:cs="Times New Roman"/>
                <w:color w:val="000000"/>
                <w:sz w:val="24"/>
              </w:rPr>
              <w:t xml:space="preserve">由中国网络安全审查技术与认证中心（原中国信息安全认证中心）按国家标准认证颁发的有效认证证书等）；</w:t>
            </w:r>
            <w:r/>
          </w:p>
          <w:p>
            <w:pPr>
              <w:jc w:val="left"/>
              <w:widowControl/>
              <w:rPr>
                <w:rFonts w:hint="default" w:ascii="Times New Roman" w:hAnsi="Times New Roman" w:eastAsia="宋体" w:cs="Times New Roman"/>
                <w:color w:val="000000"/>
                <w:sz w:val="24"/>
              </w:rPr>
            </w:pPr>
            <w:r>
              <w:rPr>
                <w:rFonts w:hint="eastAsia" w:ascii="Times New Roman" w:hAnsi="Times New Roman" w:eastAsia="宋体" w:cs="Times New Roman"/>
                <w:sz w:val="24"/>
              </w:rPr>
              <w:t xml:space="preserve">4）</w:t>
            </w:r>
            <w:r>
              <w:rPr>
                <w:rFonts w:hint="default" w:ascii="Times New Roman" w:hAnsi="Times New Roman" w:eastAsia="宋体" w:cs="Times New Roman"/>
                <w:sz w:val="24"/>
              </w:rPr>
              <w:t xml:space="preserve">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jc w:val="center"/>
          <w:trHeight w:val="685"/>
        </w:trPr>
        <w:tc>
          <w:tcPr>
            <w:tcW w:w="403" w:type="pct"/>
            <w:vAlign w:val="center"/>
            <w:textDirection w:val="lrTb"/>
            <w:noWrap w:val="false"/>
          </w:tcPr>
          <w:p>
            <w:pPr>
              <w:jc w:val="center"/>
              <w:widowControl/>
              <w:rPr>
                <w:rFonts w:hint="eastAsia" w:ascii="Times New Roman" w:hAnsi="Times New Roman" w:eastAsia="宋体" w:cs="Times New Roman"/>
                <w:color w:val="000000"/>
                <w:sz w:val="24"/>
                <w:lang w:eastAsia="zh-CN"/>
              </w:rPr>
            </w:pPr>
            <w:r>
              <w:rPr>
                <w:rFonts w:hint="default" w:ascii="Times New Roman" w:hAnsi="Times New Roman" w:eastAsia="宋体" w:cs="Times New Roman"/>
                <w:color w:val="000000"/>
                <w:sz w:val="24"/>
              </w:rPr>
              <w:t xml:space="preserve">1</w:t>
            </w:r>
            <w:r>
              <w:rPr>
                <w:rFonts w:hint="eastAsia" w:eastAsia="宋体" w:cs="Times New Roman"/>
                <w:color w:val="000000"/>
                <w:sz w:val="24"/>
                <w:lang w:val="en-US" w:eastAsia="zh-CN"/>
              </w:rPr>
              <w:t xml:space="preserve">1</w:t>
            </w:r>
            <w:r/>
          </w:p>
        </w:tc>
        <w:tc>
          <w:tcPr>
            <w:tcW w:w="976" w:type="pct"/>
            <w:vAlign w:val="center"/>
            <w:textDirection w:val="lrTb"/>
            <w:noWrap w:val="false"/>
          </w:tcPr>
          <w:p>
            <w:pPr>
              <w:jc w:val="left"/>
              <w:widowControl/>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公平竞争</w:t>
            </w:r>
            <w:r/>
          </w:p>
        </w:tc>
        <w:tc>
          <w:tcPr>
            <w:tcW w:w="3620" w:type="pct"/>
            <w:vAlign w:val="center"/>
            <w:textDirection w:val="lrTb"/>
            <w:noWrap w:val="false"/>
          </w:tcPr>
          <w:p>
            <w:pPr>
              <w:jc w:val="left"/>
              <w:widowControl/>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供应商遵循公平竞争的原则，不存在恶意串通，妨碍其他供应商的竞争行为，不存在损害采购人或者其他供应商的合法权益情形的；</w:t>
            </w:r>
            <w:r/>
          </w:p>
        </w:tc>
      </w:tr>
      <w:tr>
        <w:trPr>
          <w:jc w:val="center"/>
          <w:trHeight w:val="685"/>
        </w:trPr>
        <w:tc>
          <w:tcPr>
            <w:tcW w:w="403" w:type="pct"/>
            <w:vAlign w:val="center"/>
            <w:textDirection w:val="lrTb"/>
            <w:noWrap w:val="false"/>
          </w:tcPr>
          <w:p>
            <w:pPr>
              <w:jc w:val="center"/>
              <w:widowControl/>
              <w:rPr>
                <w:rFonts w:hint="eastAsia" w:ascii="Times New Roman" w:hAnsi="Times New Roman" w:eastAsia="宋体" w:cs="Times New Roman"/>
                <w:color w:val="000000"/>
                <w:sz w:val="24"/>
                <w:lang w:eastAsia="zh-CN"/>
              </w:rPr>
            </w:pPr>
            <w:r>
              <w:rPr>
                <w:rFonts w:hint="default" w:ascii="Times New Roman" w:hAnsi="Times New Roman" w:eastAsia="宋体" w:cs="Times New Roman"/>
                <w:color w:val="000000"/>
                <w:sz w:val="24"/>
              </w:rPr>
              <w:t xml:space="preserve">1</w:t>
            </w:r>
            <w:r>
              <w:rPr>
                <w:rFonts w:hint="eastAsia" w:eastAsia="宋体" w:cs="Times New Roman"/>
                <w:color w:val="000000"/>
                <w:sz w:val="24"/>
                <w:lang w:val="en-US" w:eastAsia="zh-CN"/>
              </w:rPr>
              <w:t xml:space="preserve">2</w:t>
            </w:r>
            <w:r/>
          </w:p>
        </w:tc>
        <w:tc>
          <w:tcPr>
            <w:tcW w:w="976" w:type="pct"/>
            <w:vAlign w:val="center"/>
            <w:textDirection w:val="lrTb"/>
            <w:noWrap w:val="false"/>
          </w:tcPr>
          <w:p>
            <w:pPr>
              <w:jc w:val="left"/>
              <w:widowControl/>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串通响应</w:t>
            </w:r>
            <w:r/>
          </w:p>
        </w:tc>
        <w:tc>
          <w:tcPr>
            <w:tcW w:w="3620" w:type="pct"/>
            <w:vAlign w:val="center"/>
            <w:textDirection w:val="lrTb"/>
            <w:noWrap w:val="false"/>
          </w:tcPr>
          <w:p>
            <w:pPr>
              <w:jc w:val="left"/>
              <w:widowControl/>
              <w:rPr>
                <w:rFonts w:hint="default"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不存在《政府采购货物和服务招标响应管理办法》视为供应商串通响应的情形：（一）不同供应商的响应文件由同一单位或者个人编制</w:t>
            </w:r>
            <w:r>
              <w:rPr>
                <w:rFonts w:hint="eastAsia" w:ascii="宋体" w:hAnsi="宋体" w:eastAsia="宋体" w:cs="Times New Roman"/>
                <w:sz w:val="24"/>
              </w:rPr>
              <w:t xml:space="preserve">（包含使用同一MAC地址的计算机制作电子响应文件的情形）</w:t>
            </w:r>
            <w:r>
              <w:rPr>
                <w:rFonts w:hint="eastAsia" w:ascii="Times New Roman" w:hAnsi="Times New Roman" w:eastAsia="宋体" w:cs="Times New Roman"/>
                <w:color w:val="000000"/>
                <w:sz w:val="24"/>
              </w:rPr>
              <w:t xml:space="preserve">；（二）不同供应商委托同一单位或者个人办理响应事宜</w:t>
            </w:r>
            <w:r>
              <w:rPr>
                <w:rFonts w:hint="eastAsia" w:ascii="宋体" w:hAnsi="宋体" w:eastAsia="宋体" w:cs="Times New Roman"/>
                <w:sz w:val="24"/>
              </w:rPr>
              <w:t xml:space="preserve">（包含使用同一MAC地址的计算机提交或者解密电子响应文件的情形）</w:t>
            </w:r>
            <w:r>
              <w:rPr>
                <w:rFonts w:hint="eastAsia" w:ascii="Times New Roman" w:hAnsi="Times New Roman" w:eastAsia="宋体" w:cs="Times New Roman"/>
                <w:color w:val="000000"/>
                <w:sz w:val="24"/>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rFonts w:hint="default" w:ascii="Times New Roman" w:hAnsi="Times New Roman" w:eastAsia="宋体" w:cs="Times New Roman"/>
                <w:color w:val="000000"/>
                <w:sz w:val="24"/>
              </w:rPr>
              <w:t xml:space="preserve">；</w:t>
            </w:r>
            <w:r/>
          </w:p>
        </w:tc>
      </w:tr>
      <w:tr>
        <w:trPr>
          <w:jc w:val="center"/>
          <w:trHeight w:val="685"/>
        </w:trPr>
        <w:tc>
          <w:tcPr>
            <w:tcW w:w="403" w:type="pct"/>
            <w:vAlign w:val="center"/>
            <w:textDirection w:val="lrTb"/>
            <w:noWrap w:val="false"/>
          </w:tcPr>
          <w:p>
            <w:pPr>
              <w:jc w:val="center"/>
              <w:widowControl/>
              <w:rPr>
                <w:rFonts w:hint="eastAsia" w:ascii="Times New Roman" w:hAnsi="Times New Roman" w:eastAsia="宋体" w:cs="Times New Roman"/>
                <w:color w:val="000000"/>
                <w:sz w:val="24"/>
                <w:lang w:eastAsia="zh-CN"/>
              </w:rPr>
            </w:pPr>
            <w:r>
              <w:rPr>
                <w:rFonts w:hint="default" w:ascii="Times New Roman" w:hAnsi="Times New Roman" w:eastAsia="宋体" w:cs="Times New Roman"/>
                <w:color w:val="000000"/>
                <w:sz w:val="24"/>
              </w:rPr>
              <w:t xml:space="preserve">1</w:t>
            </w:r>
            <w:r>
              <w:rPr>
                <w:rFonts w:hint="eastAsia" w:eastAsia="宋体" w:cs="Times New Roman"/>
                <w:color w:val="000000"/>
                <w:sz w:val="24"/>
                <w:lang w:val="en-US" w:eastAsia="zh-CN"/>
              </w:rPr>
              <w:t xml:space="preserve">3</w:t>
            </w:r>
            <w:r/>
          </w:p>
        </w:tc>
        <w:tc>
          <w:tcPr>
            <w:tcW w:w="976" w:type="pct"/>
            <w:vAlign w:val="center"/>
            <w:textDirection w:val="lrTb"/>
            <w:noWrap w:val="false"/>
          </w:tcPr>
          <w:p>
            <w:pPr>
              <w:jc w:val="left"/>
              <w:widowControl/>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附加条件</w:t>
            </w:r>
            <w:r/>
          </w:p>
        </w:tc>
        <w:tc>
          <w:tcPr>
            <w:tcW w:w="3620" w:type="pct"/>
            <w:vAlign w:val="center"/>
            <w:textDirection w:val="lrTb"/>
            <w:noWrap w:val="false"/>
          </w:tcPr>
          <w:p>
            <w:pPr>
              <w:jc w:val="left"/>
              <w:widowControl/>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响应文件</w:t>
            </w:r>
            <w:r>
              <w:rPr>
                <w:rFonts w:hint="eastAsia" w:ascii="Times New Roman" w:hAnsi="Times New Roman" w:eastAsia="宋体" w:cs="Times New Roman"/>
                <w:color w:val="000000"/>
                <w:sz w:val="24"/>
              </w:rPr>
              <w:t xml:space="preserve">未</w:t>
            </w:r>
            <w:r>
              <w:rPr>
                <w:rFonts w:hint="default" w:ascii="Times New Roman" w:hAnsi="Times New Roman" w:eastAsia="宋体" w:cs="Times New Roman"/>
                <w:color w:val="000000"/>
                <w:sz w:val="24"/>
              </w:rPr>
              <w:t xml:space="preserve">含有采购人不能接受的附加条件的；</w:t>
            </w:r>
            <w:r/>
          </w:p>
        </w:tc>
      </w:tr>
      <w:tr>
        <w:trPr>
          <w:jc w:val="center"/>
          <w:trHeight w:val="685"/>
        </w:trPr>
        <w:tc>
          <w:tcPr>
            <w:tcW w:w="403" w:type="pct"/>
            <w:vAlign w:val="center"/>
            <w:textDirection w:val="lrTb"/>
            <w:noWrap w:val="false"/>
          </w:tcPr>
          <w:p>
            <w:pPr>
              <w:jc w:val="center"/>
              <w:widowControl/>
              <w:rPr>
                <w:rFonts w:hint="eastAsia" w:ascii="Times New Roman" w:hAnsi="Times New Roman" w:eastAsia="宋体" w:cs="Times New Roman"/>
                <w:color w:val="000000"/>
                <w:sz w:val="24"/>
                <w:lang w:eastAsia="zh-CN"/>
              </w:rPr>
            </w:pPr>
            <w:r>
              <w:rPr>
                <w:rFonts w:hint="eastAsia" w:ascii="Times New Roman" w:hAnsi="Times New Roman" w:eastAsia="宋体" w:cs="Times New Roman"/>
                <w:color w:val="000000"/>
                <w:sz w:val="24"/>
              </w:rPr>
              <w:t xml:space="preserve">1</w:t>
            </w:r>
            <w:r>
              <w:rPr>
                <w:rFonts w:hint="eastAsia" w:eastAsia="宋体" w:cs="Times New Roman"/>
                <w:color w:val="000000"/>
                <w:sz w:val="24"/>
                <w:lang w:val="en-US" w:eastAsia="zh-CN"/>
              </w:rPr>
              <w:t xml:space="preserve">4</w:t>
            </w:r>
            <w:r/>
          </w:p>
        </w:tc>
        <w:tc>
          <w:tcPr>
            <w:tcW w:w="976" w:type="pct"/>
            <w:vAlign w:val="center"/>
            <w:textDirection w:val="lrTb"/>
            <w:noWrap w:val="false"/>
          </w:tcPr>
          <w:p>
            <w:pPr>
              <w:jc w:val="left"/>
              <w:widowControl/>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其他无效情形</w:t>
            </w:r>
            <w:r/>
          </w:p>
        </w:tc>
        <w:tc>
          <w:tcPr>
            <w:tcW w:w="3620" w:type="pct"/>
            <w:vAlign w:val="center"/>
            <w:textDirection w:val="lrTb"/>
            <w:noWrap w:val="false"/>
          </w:tcPr>
          <w:p>
            <w:pPr>
              <w:jc w:val="left"/>
              <w:widowControl/>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供应商、响应文件</w:t>
            </w:r>
            <w:r>
              <w:rPr>
                <w:rFonts w:hint="eastAsia" w:ascii="Times New Roman" w:hAnsi="Times New Roman" w:eastAsia="宋体" w:cs="Times New Roman"/>
                <w:color w:val="000000"/>
                <w:sz w:val="24"/>
              </w:rPr>
              <w:t xml:space="preserve">不存在</w:t>
            </w:r>
            <w:r>
              <w:rPr>
                <w:rFonts w:hint="default" w:ascii="Times New Roman" w:hAnsi="Times New Roman" w:eastAsia="宋体" w:cs="Times New Roman"/>
                <w:color w:val="000000"/>
                <w:sz w:val="24"/>
              </w:rPr>
              <w:t xml:space="preserve">不符合法律、法规和磋商文件规定的其他无效情形。</w:t>
            </w:r>
            <w:r/>
          </w:p>
        </w:tc>
      </w:tr>
    </w:tbl>
    <w:p>
      <w:pPr>
        <w:jc w:val="center"/>
        <w:spacing w:line="360" w:lineRule="auto"/>
        <w:widowControl/>
        <w:rPr>
          <w:b/>
          <w:color w:val="000000"/>
          <w:sz w:val="24"/>
        </w:rPr>
      </w:pPr>
      <w:r>
        <w:rPr>
          <w:b/>
          <w:color w:val="000000"/>
          <w:sz w:val="24"/>
        </w:rPr>
      </w:r>
      <w:r/>
    </w:p>
    <w:p>
      <w:pPr>
        <w:jc w:val="center"/>
        <w:spacing w:line="360" w:lineRule="auto"/>
        <w:widowControl/>
        <w:rPr>
          <w:b/>
          <w:color w:val="000000"/>
          <w:sz w:val="24"/>
        </w:rPr>
      </w:pPr>
      <w:r>
        <w:rPr>
          <w:b/>
          <w:color w:val="000000"/>
          <w:sz w:val="24"/>
        </w:rPr>
      </w:r>
      <w:r/>
    </w:p>
    <w:p>
      <w:pPr>
        <w:numPr>
          <w:ilvl w:val="0"/>
          <w:numId w:val="11"/>
        </w:numPr>
        <w:spacing w:line="360" w:lineRule="auto"/>
        <w:tabs>
          <w:tab w:val="left" w:pos="360" w:leader="none"/>
        </w:tabs>
        <w:rPr>
          <w:sz w:val="24"/>
        </w:rPr>
        <w:outlineLvl w:val="1"/>
      </w:pPr>
      <w:r>
        <w:rPr>
          <w:sz w:val="24"/>
        </w:rPr>
        <w:t xml:space="preserve">磋商、响应文件有关事项的澄清、说明或者更正和最终报价</w:t>
      </w:r>
      <w:r/>
    </w:p>
    <w:p>
      <w:pPr>
        <w:numPr>
          <w:ilvl w:val="1"/>
          <w:numId w:val="11"/>
        </w:numPr>
        <w:ind w:left="1077" w:hanging="720"/>
        <w:spacing w:line="360" w:lineRule="auto"/>
        <w:tabs>
          <w:tab w:val="left" w:pos="1080" w:leader="none"/>
        </w:tabs>
        <w:rPr>
          <w:sz w:val="24"/>
        </w:rPr>
      </w:pPr>
      <w:r>
        <w:rPr>
          <w:sz w:val="24"/>
        </w:rPr>
        <w:t xml:space="preserve">磋商小组所有成员应当集中与单一供应商分别进行磋商，并给予所有参加磋商的供应商平等的磋商机会。</w:t>
      </w:r>
      <w:r/>
    </w:p>
    <w:p>
      <w:pPr>
        <w:numPr>
          <w:ilvl w:val="1"/>
          <w:numId w:val="11"/>
        </w:numPr>
        <w:ind w:left="1077" w:hanging="720"/>
        <w:spacing w:line="360" w:lineRule="auto"/>
        <w:tabs>
          <w:tab w:val="left" w:pos="1080" w:leader="none"/>
          <w:tab w:val="left" w:pos="1872" w:leader="none"/>
        </w:tabs>
        <w:rPr>
          <w:sz w:val="24"/>
        </w:rPr>
      </w:pPr>
      <w:r>
        <w:rPr>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11"/>
        </w:numPr>
        <w:ind w:left="1077" w:hanging="720"/>
        <w:spacing w:line="360" w:lineRule="auto"/>
        <w:tabs>
          <w:tab w:val="left" w:pos="1080" w:leader="none"/>
          <w:tab w:val="left" w:pos="1872" w:leader="none"/>
        </w:tabs>
        <w:rPr>
          <w:sz w:val="24"/>
        </w:rPr>
      </w:pPr>
      <w:r>
        <w:rPr>
          <w:sz w:val="24"/>
        </w:rPr>
        <w:t xml:space="preserve">对磋商文件作出的实质性变动是磋商文件的有效组成部分，磋商小组应当及时</w:t>
      </w:r>
      <w:r>
        <w:rPr>
          <w:rFonts w:hint="eastAsia"/>
          <w:sz w:val="24"/>
        </w:rPr>
        <w:t xml:space="preserve">通过</w:t>
      </w:r>
      <w:r>
        <w:rPr>
          <w:rFonts w:hint="eastAsia"/>
          <w:sz w:val="24"/>
          <w:lang w:eastAsia="zh-CN"/>
        </w:rPr>
        <w:t xml:space="preserve">“苏采云”</w:t>
      </w:r>
      <w:r>
        <w:rPr>
          <w:rFonts w:hint="eastAsia"/>
          <w:sz w:val="24"/>
        </w:rPr>
        <w:t xml:space="preserve">系统</w:t>
      </w:r>
      <w:r>
        <w:rPr>
          <w:sz w:val="24"/>
        </w:rPr>
        <w:t xml:space="preserve">以书面形式同时通知所有参加磋商的供应商。</w:t>
      </w:r>
      <w:r/>
    </w:p>
    <w:p>
      <w:pPr>
        <w:numPr>
          <w:ilvl w:val="1"/>
          <w:numId w:val="11"/>
        </w:numPr>
        <w:ind w:left="1077" w:hanging="720"/>
        <w:spacing w:line="360" w:lineRule="auto"/>
        <w:tabs>
          <w:tab w:val="left" w:pos="1080" w:leader="none"/>
          <w:tab w:val="left" w:pos="1872" w:leader="none"/>
        </w:tabs>
        <w:rPr>
          <w:sz w:val="24"/>
        </w:rPr>
      </w:pPr>
      <w:r>
        <w:rPr>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11"/>
        </w:numPr>
        <w:ind w:left="1077" w:hanging="720"/>
        <w:spacing w:line="360" w:lineRule="auto"/>
        <w:tabs>
          <w:tab w:val="left" w:pos="1080" w:leader="none"/>
          <w:tab w:val="left" w:pos="1872" w:leader="none"/>
        </w:tabs>
        <w:rPr>
          <w:sz w:val="24"/>
        </w:rPr>
      </w:pPr>
      <w:r>
        <w:rPr>
          <w:sz w:val="24"/>
        </w:rPr>
        <w:t xml:space="preserve">响应文件的澄清、说明或者更正</w:t>
      </w:r>
      <w:r>
        <w:rPr>
          <w:rFonts w:hint="eastAsia"/>
          <w:sz w:val="24"/>
        </w:rPr>
        <w:t xml:space="preserve">：</w:t>
      </w:r>
      <w:r/>
    </w:p>
    <w:p>
      <w:pPr>
        <w:ind w:left="1080"/>
        <w:spacing w:line="360" w:lineRule="auto"/>
        <w:tabs>
          <w:tab w:val="left" w:pos="1980" w:leader="none"/>
        </w:tabs>
        <w:rPr>
          <w:sz w:val="24"/>
        </w:rPr>
      </w:pPr>
      <w:r>
        <w:rPr>
          <w:rFonts w:hint="eastAsia"/>
          <w:sz w:val="24"/>
        </w:rPr>
        <w:t xml:space="preserve">评审</w:t>
      </w:r>
      <w:r>
        <w:rPr>
          <w:sz w:val="24"/>
        </w:rPr>
        <w:t xml:space="preserve">过程中，</w:t>
      </w:r>
      <w:r>
        <w:rPr>
          <w:rFonts w:hint="eastAsia"/>
          <w:sz w:val="24"/>
        </w:rPr>
        <w:t xml:space="preserve">磋商小组</w:t>
      </w:r>
      <w:r>
        <w:rPr>
          <w:sz w:val="24"/>
        </w:rPr>
        <w:t xml:space="preserve">会将</w:t>
      </w:r>
      <w:r>
        <w:rPr>
          <w:rFonts w:hint="eastAsia"/>
          <w:sz w:val="24"/>
        </w:rPr>
        <w:t xml:space="preserve">通过</w:t>
      </w:r>
      <w:r>
        <w:rPr>
          <w:rFonts w:hint="eastAsia"/>
          <w:sz w:val="24"/>
          <w:lang w:eastAsia="zh-CN"/>
        </w:rPr>
        <w:t xml:space="preserve">“苏采云”</w:t>
      </w:r>
      <w:r>
        <w:rPr>
          <w:rFonts w:hint="eastAsia"/>
          <w:sz w:val="24"/>
        </w:rPr>
        <w:t xml:space="preserve">系统</w:t>
      </w:r>
      <w:r>
        <w:rPr>
          <w:sz w:val="24"/>
        </w:rPr>
        <w:t xml:space="preserve">以书面形式要求</w:t>
      </w:r>
      <w:r>
        <w:rPr>
          <w:rFonts w:hint="eastAsia"/>
          <w:sz w:val="24"/>
        </w:rPr>
        <w:t xml:space="preserve">供应商</w:t>
      </w:r>
      <w:r>
        <w:rPr>
          <w:sz w:val="24"/>
        </w:rPr>
        <w:t xml:space="preserve">对其</w:t>
      </w:r>
      <w:r>
        <w:rPr>
          <w:rFonts w:hint="eastAsia"/>
          <w:sz w:val="24"/>
        </w:rPr>
        <w:t xml:space="preserve">响应</w:t>
      </w:r>
      <w:r>
        <w:rPr>
          <w:sz w:val="24"/>
        </w:rPr>
        <w:t xml:space="preserve">文件中含义不明确、同类问题表述不一致或者有明显文字和计算错误的内容，作出必要的澄清、说明或者补正。</w:t>
      </w:r>
      <w:r>
        <w:rPr>
          <w:rFonts w:hint="eastAsia"/>
          <w:sz w:val="24"/>
        </w:rPr>
        <w:t xml:space="preserve">供应商</w:t>
      </w:r>
      <w:r>
        <w:rPr>
          <w:sz w:val="24"/>
        </w:rPr>
        <w:t xml:space="preserve">的澄清、说明或者补正应当采用书面形式，并加盖</w:t>
      </w:r>
      <w:r>
        <w:rPr>
          <w:rFonts w:hint="eastAsia"/>
          <w:sz w:val="24"/>
        </w:rPr>
        <w:t xml:space="preserve">电子</w:t>
      </w:r>
      <w:r>
        <w:rPr>
          <w:sz w:val="24"/>
        </w:rPr>
        <w:t xml:space="preserve">公章。</w:t>
      </w:r>
      <w:r>
        <w:rPr>
          <w:rFonts w:hint="eastAsia"/>
          <w:sz w:val="24"/>
        </w:rPr>
        <w:t xml:space="preserve">供应商</w:t>
      </w:r>
      <w:r>
        <w:rPr>
          <w:sz w:val="24"/>
        </w:rPr>
        <w:t xml:space="preserve">的澄清、说明或者补正不得超出</w:t>
      </w:r>
      <w:r>
        <w:rPr>
          <w:rFonts w:hint="eastAsia"/>
          <w:sz w:val="24"/>
        </w:rPr>
        <w:t xml:space="preserve">响应</w:t>
      </w:r>
      <w:r>
        <w:rPr>
          <w:sz w:val="24"/>
        </w:rPr>
        <w:t xml:space="preserve">文件的范围或者改变</w:t>
      </w:r>
      <w:r>
        <w:rPr>
          <w:rFonts w:hint="eastAsia"/>
          <w:sz w:val="24"/>
        </w:rPr>
        <w:t xml:space="preserve">响应</w:t>
      </w:r>
      <w:r>
        <w:rPr>
          <w:sz w:val="24"/>
        </w:rPr>
        <w:t xml:space="preserve">文件的实质性内容。澄清文件将作为</w:t>
      </w:r>
      <w:r>
        <w:rPr>
          <w:rFonts w:hint="eastAsia"/>
          <w:sz w:val="24"/>
        </w:rPr>
        <w:t xml:space="preserve">响应</w:t>
      </w:r>
      <w:r>
        <w:rPr>
          <w:sz w:val="24"/>
        </w:rPr>
        <w:t xml:space="preserve">文件内容的一部分。</w:t>
      </w:r>
      <w:r/>
    </w:p>
    <w:p>
      <w:pPr>
        <w:numPr>
          <w:ilvl w:val="1"/>
          <w:numId w:val="11"/>
        </w:numPr>
        <w:ind w:left="1077" w:hanging="720"/>
        <w:spacing w:line="360" w:lineRule="auto"/>
        <w:tabs>
          <w:tab w:val="left" w:pos="1080" w:leader="none"/>
          <w:tab w:val="left" w:pos="1872" w:leader="none"/>
        </w:tabs>
        <w:rPr>
          <w:b/>
          <w:sz w:val="24"/>
        </w:rPr>
      </w:pPr>
      <w:r>
        <w:rPr>
          <w:b/>
          <w:sz w:val="24"/>
        </w:rPr>
        <w:t xml:space="preserve">磋商结束后，</w:t>
      </w:r>
      <w:r>
        <w:rPr>
          <w:rFonts w:hint="eastAsia"/>
          <w:b/>
          <w:sz w:val="24"/>
        </w:rPr>
        <w:t xml:space="preserve">磋商结束后，磋商小组将要求所有实质性响应的供应商在规定时间内通过“苏采云”系统提交最终报价。最终报价不得高于首次报价。</w:t>
      </w:r>
      <w:r/>
    </w:p>
    <w:p>
      <w:pPr>
        <w:numPr>
          <w:ilvl w:val="1"/>
          <w:numId w:val="11"/>
        </w:numPr>
        <w:ind w:left="1077" w:hanging="720"/>
        <w:spacing w:line="360" w:lineRule="auto"/>
        <w:tabs>
          <w:tab w:val="left" w:pos="1080" w:leader="none"/>
          <w:tab w:val="left" w:pos="1872" w:leader="none"/>
        </w:tabs>
        <w:rPr>
          <w:sz w:val="24"/>
        </w:rPr>
      </w:pPr>
      <w:r>
        <w:rPr>
          <w:sz w:val="24"/>
        </w:rPr>
        <w:t xml:space="preserve">磋商文件能够详细列明采购标的的技术、服务要求的，磋商结束后，磋商小组应当要求所有实质</w:t>
      </w:r>
      <w:r>
        <w:rPr>
          <w:sz w:val="24"/>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11"/>
        </w:numPr>
        <w:ind w:left="1077" w:hanging="720"/>
        <w:spacing w:line="360" w:lineRule="auto"/>
        <w:tabs>
          <w:tab w:val="left" w:pos="1080" w:leader="none"/>
          <w:tab w:val="left" w:pos="1872" w:leader="none"/>
        </w:tabs>
        <w:rPr>
          <w:sz w:val="24"/>
        </w:rPr>
      </w:pPr>
      <w:r>
        <w:rPr>
          <w:sz w:val="24"/>
        </w:rPr>
        <w:t xml:space="preserve">最终报价是供应商响应文件的有效组成部分。</w:t>
      </w:r>
      <w:r/>
    </w:p>
    <w:p>
      <w:pPr>
        <w:numPr>
          <w:ilvl w:val="1"/>
          <w:numId w:val="11"/>
        </w:numPr>
        <w:ind w:left="1077" w:hanging="720"/>
        <w:spacing w:line="360" w:lineRule="auto"/>
        <w:tabs>
          <w:tab w:val="left" w:pos="1080" w:leader="none"/>
          <w:tab w:val="left" w:pos="1872" w:leader="none"/>
        </w:tabs>
        <w:rPr>
          <w:sz w:val="24"/>
        </w:rPr>
      </w:pPr>
      <w:r>
        <w:rPr>
          <w:sz w:val="24"/>
        </w:rPr>
        <w:t xml:space="preserve">已提交响应文件的供应商，在提交最终报价之前，可以根据磋商情况退出磋商。</w:t>
      </w:r>
      <w:r/>
    </w:p>
    <w:p>
      <w:pPr>
        <w:numPr>
          <w:ilvl w:val="0"/>
          <w:numId w:val="11"/>
        </w:numPr>
        <w:spacing w:line="360" w:lineRule="auto"/>
        <w:tabs>
          <w:tab w:val="left" w:pos="360" w:leader="none"/>
        </w:tabs>
        <w:rPr>
          <w:sz w:val="24"/>
        </w:rPr>
        <w:outlineLvl w:val="1"/>
      </w:pPr>
      <w:r>
        <w:rPr>
          <w:sz w:val="24"/>
        </w:rPr>
        <w:t xml:space="preserve">最终报价的算术修正及政策调整</w:t>
      </w:r>
      <w:r/>
    </w:p>
    <w:p>
      <w:pPr>
        <w:numPr>
          <w:ilvl w:val="1"/>
          <w:numId w:val="11"/>
        </w:numPr>
        <w:ind w:left="1077" w:hanging="720"/>
        <w:spacing w:line="360" w:lineRule="auto"/>
        <w:tabs>
          <w:tab w:val="left" w:pos="1080" w:leader="none"/>
        </w:tabs>
        <w:rPr>
          <w:sz w:val="24"/>
        </w:rPr>
      </w:pPr>
      <w:r>
        <w:rPr>
          <w:sz w:val="24"/>
        </w:rPr>
        <w:t xml:space="preserve">最终报价须包含竞争性磋商文件全部内容，如</w:t>
      </w:r>
      <w:r>
        <w:rPr>
          <w:rFonts w:hint="eastAsia"/>
          <w:sz w:val="24"/>
        </w:rPr>
        <w:t xml:space="preserve">最后</w:t>
      </w:r>
      <w:r>
        <w:rPr>
          <w:sz w:val="24"/>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sz w:val="24"/>
        </w:rPr>
        <w:t xml:space="preserve">响应无效</w:t>
      </w:r>
      <w:r>
        <w:rPr>
          <w:sz w:val="24"/>
        </w:rPr>
        <w:t xml:space="preserve">。</w:t>
      </w:r>
      <w:r/>
    </w:p>
    <w:p>
      <w:pPr>
        <w:numPr>
          <w:ilvl w:val="1"/>
          <w:numId w:val="11"/>
        </w:numPr>
        <w:ind w:left="1077" w:hanging="720"/>
        <w:spacing w:line="360" w:lineRule="auto"/>
        <w:tabs>
          <w:tab w:val="left" w:pos="1080" w:leader="none"/>
          <w:tab w:val="left" w:pos="1872" w:leader="none"/>
        </w:tabs>
        <w:rPr>
          <w:sz w:val="24"/>
        </w:rPr>
      </w:pPr>
      <w:r>
        <w:rPr>
          <w:sz w:val="24"/>
        </w:rPr>
        <w:t xml:space="preserve">最终报价出现前后不一致的，按照下列规定修正：</w:t>
      </w:r>
      <w:r/>
    </w:p>
    <w:p>
      <w:pPr>
        <w:numPr>
          <w:ilvl w:val="2"/>
          <w:numId w:val="11"/>
        </w:numPr>
        <w:ind w:left="2035"/>
        <w:spacing w:line="360" w:lineRule="auto"/>
        <w:tabs>
          <w:tab w:val="left" w:pos="1080" w:leader="none"/>
          <w:tab w:val="left" w:pos="1589" w:leader="none"/>
          <w:tab w:val="left" w:pos="2035" w:leader="none"/>
          <w:tab w:val="left" w:pos="2114" w:leader="none"/>
        </w:tabs>
        <w:rPr>
          <w:sz w:val="24"/>
        </w:rPr>
      </w:pPr>
      <w:r>
        <w:rPr>
          <w:sz w:val="24"/>
        </w:rPr>
        <w:t xml:space="preserve">竞争性磋商文件对于报价修正是否另有规定：</w:t>
      </w:r>
      <w:r/>
    </w:p>
    <w:p>
      <w:pPr>
        <w:ind w:left="2035"/>
        <w:spacing w:line="360" w:lineRule="auto"/>
        <w:tabs>
          <w:tab w:val="left" w:pos="1080" w:leader="none"/>
          <w:tab w:val="left" w:pos="1589" w:leader="none"/>
          <w:tab w:val="left" w:pos="2035" w:leader="none"/>
          <w:tab w:val="left" w:pos="2114" w:leader="none"/>
        </w:tabs>
        <w:rPr>
          <w:sz w:val="24"/>
          <w:u w:val="single"/>
        </w:rPr>
      </w:pPr>
      <w:r>
        <w:rPr>
          <w:sz w:val="24"/>
        </w:rPr>
        <w:t xml:space="preserve">□有，具体规定为：___________</w:t>
      </w:r>
      <w:r/>
    </w:p>
    <w:p>
      <w:pPr>
        <w:ind w:left="2035"/>
        <w:spacing w:line="360" w:lineRule="auto"/>
        <w:tabs>
          <w:tab w:val="left" w:pos="1080" w:leader="none"/>
          <w:tab w:val="left" w:pos="1589" w:leader="none"/>
          <w:tab w:val="left" w:pos="2035" w:leader="none"/>
          <w:tab w:val="left" w:pos="2114" w:leader="none"/>
        </w:tabs>
        <w:rPr>
          <w:sz w:val="24"/>
        </w:rPr>
      </w:pPr>
      <w:r>
        <w:rPr>
          <w:rFonts w:hint="eastAsia"/>
          <w:sz w:val="24"/>
          <w:lang w:eastAsia="zh-CN"/>
        </w:rPr>
        <w:t xml:space="preserve">☑</w:t>
      </w:r>
      <w:r>
        <w:rPr>
          <w:sz w:val="24"/>
        </w:rPr>
        <w:t xml:space="preserve">无，按下述3.2.2-3.2.5项规定修正。</w:t>
      </w:r>
      <w:r/>
    </w:p>
    <w:p>
      <w:pPr>
        <w:numPr>
          <w:ilvl w:val="2"/>
          <w:numId w:val="11"/>
        </w:numPr>
        <w:ind w:left="2035"/>
        <w:spacing w:line="360" w:lineRule="auto"/>
        <w:tabs>
          <w:tab w:val="left" w:pos="2035" w:leader="none"/>
          <w:tab w:val="left" w:pos="2114" w:leader="none"/>
          <w:tab w:val="left" w:pos="2977" w:leader="none"/>
        </w:tabs>
        <w:rPr>
          <w:color w:val="000000"/>
          <w:sz w:val="24"/>
        </w:rPr>
      </w:pPr>
      <w:r>
        <w:rPr>
          <w:color w:val="000000"/>
          <w:sz w:val="24"/>
        </w:rPr>
        <w:t xml:space="preserve">大写金额和小写金额不一致的，以大写金额为准；</w:t>
      </w:r>
      <w:r/>
    </w:p>
    <w:p>
      <w:pPr>
        <w:numPr>
          <w:ilvl w:val="2"/>
          <w:numId w:val="11"/>
        </w:numPr>
        <w:ind w:left="2035"/>
        <w:spacing w:line="360" w:lineRule="auto"/>
        <w:tabs>
          <w:tab w:val="left" w:pos="2035" w:leader="none"/>
          <w:tab w:val="left" w:pos="2114" w:leader="none"/>
          <w:tab w:val="left" w:pos="2977" w:leader="none"/>
        </w:tabs>
        <w:rPr>
          <w:color w:val="000000"/>
          <w:sz w:val="24"/>
        </w:rPr>
      </w:pPr>
      <w:r>
        <w:rPr>
          <w:color w:val="000000"/>
          <w:sz w:val="24"/>
        </w:rPr>
        <w:t xml:space="preserve">单价金额小数点或者百分比有明显错位的，以最终报价一览表的总价为准，并修改单价；</w:t>
      </w:r>
      <w:r/>
    </w:p>
    <w:p>
      <w:pPr>
        <w:numPr>
          <w:ilvl w:val="2"/>
          <w:numId w:val="11"/>
        </w:numPr>
        <w:ind w:left="2035"/>
        <w:spacing w:line="360" w:lineRule="auto"/>
        <w:tabs>
          <w:tab w:val="left" w:pos="2035" w:leader="none"/>
          <w:tab w:val="left" w:pos="2114" w:leader="none"/>
          <w:tab w:val="left" w:pos="2977" w:leader="none"/>
        </w:tabs>
        <w:rPr>
          <w:color w:val="000000"/>
          <w:sz w:val="24"/>
        </w:rPr>
      </w:pPr>
      <w:r>
        <w:rPr>
          <w:color w:val="000000"/>
          <w:sz w:val="24"/>
        </w:rPr>
        <w:t xml:space="preserve">总价金额与按单价汇总金额不一致的，以单价金额计算结果为准。</w:t>
      </w:r>
      <w:r/>
    </w:p>
    <w:p>
      <w:pPr>
        <w:numPr>
          <w:ilvl w:val="2"/>
          <w:numId w:val="11"/>
        </w:numPr>
        <w:ind w:left="2035"/>
        <w:spacing w:line="360" w:lineRule="auto"/>
        <w:tabs>
          <w:tab w:val="left" w:pos="1080" w:leader="none"/>
          <w:tab w:val="left" w:pos="1589" w:leader="none"/>
          <w:tab w:val="left" w:pos="2035" w:leader="none"/>
          <w:tab w:val="left" w:pos="2114" w:leader="none"/>
        </w:tabs>
        <w:rPr>
          <w:sz w:val="24"/>
        </w:rPr>
      </w:pPr>
      <w:r>
        <w:rPr>
          <w:sz w:val="24"/>
        </w:rPr>
        <w:t xml:space="preserve">同时出现两种以上不一致的，按照前款规定的顺序修正。修正后的报价经供应商书面确认后产生约束力，供应商不确认的，</w:t>
      </w:r>
      <w:r>
        <w:rPr>
          <w:b/>
          <w:sz w:val="24"/>
        </w:rPr>
        <w:t xml:space="preserve">其响应无效</w:t>
      </w:r>
      <w:r>
        <w:rPr>
          <w:sz w:val="24"/>
        </w:rPr>
        <w:t xml:space="preserve">。</w:t>
      </w:r>
      <w:r/>
    </w:p>
    <w:p>
      <w:pPr>
        <w:numPr>
          <w:ilvl w:val="1"/>
          <w:numId w:val="11"/>
        </w:numPr>
        <w:ind w:left="1077" w:hanging="720"/>
        <w:spacing w:line="360" w:lineRule="auto"/>
        <w:tabs>
          <w:tab w:val="left" w:pos="1080" w:leader="none"/>
          <w:tab w:val="left" w:pos="1872" w:leader="none"/>
        </w:tabs>
        <w:rPr>
          <w:sz w:val="24"/>
        </w:rPr>
      </w:pPr>
      <w:r>
        <w:rPr>
          <w:sz w:val="24"/>
        </w:rPr>
        <w:t xml:space="preserve">落实政府采购政策的价格调整：只有符合第二章《供应商须知》4.2条规定情形的，可以享受中小企业扶持政策，用扣除后的价格参加评审；否则，评审时价格不予扣除。</w:t>
      </w:r>
      <w:r/>
    </w:p>
    <w:p>
      <w:pPr>
        <w:numPr>
          <w:ilvl w:val="2"/>
          <w:numId w:val="11"/>
        </w:numPr>
        <w:spacing w:line="360" w:lineRule="auto"/>
        <w:rPr>
          <w:sz w:val="24"/>
        </w:rPr>
      </w:pP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rPr>
        <w:t xml:space="preserve">20</w:t>
      </w:r>
      <w:r>
        <w:rPr>
          <w:sz w:val="24"/>
        </w:rPr>
        <w:t xml:space="preserve">%的扣除，用扣除后的价格参加评审。</w:t>
      </w:r>
      <w:r/>
    </w:p>
    <w:p>
      <w:pPr>
        <w:numPr>
          <w:ilvl w:val="2"/>
          <w:numId w:val="11"/>
        </w:numPr>
        <w:spacing w:line="360" w:lineRule="auto"/>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rPr>
        <w:t xml:space="preserve">3</w:t>
      </w:r>
      <w:r>
        <w:rPr>
          <w:sz w:val="24"/>
        </w:rPr>
        <w:t xml:space="preserve">%的扣除，用扣除后的价格参加评审。</w:t>
      </w:r>
      <w:r/>
    </w:p>
    <w:p>
      <w:pPr>
        <w:numPr>
          <w:ilvl w:val="2"/>
          <w:numId w:val="11"/>
        </w:numPr>
        <w:ind w:left="2035"/>
        <w:spacing w:line="360" w:lineRule="auto"/>
        <w:tabs>
          <w:tab w:val="left" w:pos="1080" w:leader="none"/>
          <w:tab w:val="left" w:pos="1589"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p>
    <w:p>
      <w:pPr>
        <w:numPr>
          <w:ilvl w:val="2"/>
          <w:numId w:val="11"/>
        </w:numPr>
        <w:ind w:left="2035"/>
        <w:spacing w:line="360" w:lineRule="auto"/>
        <w:tabs>
          <w:tab w:val="left" w:pos="1080" w:leader="none"/>
          <w:tab w:val="left" w:pos="1589" w:leader="none"/>
          <w:tab w:val="left" w:pos="2035" w:leader="none"/>
        </w:tabs>
        <w:rPr>
          <w:sz w:val="24"/>
        </w:rPr>
      </w:pPr>
      <w:r>
        <w:rPr>
          <w:sz w:val="24"/>
        </w:rPr>
        <w:t xml:space="preserve">价格扣除比例对小型企业和微型企业同等对待，不作区分。</w:t>
      </w:r>
      <w:r/>
    </w:p>
    <w:p>
      <w:pPr>
        <w:numPr>
          <w:ilvl w:val="2"/>
          <w:numId w:val="11"/>
        </w:numPr>
        <w:ind w:left="2035"/>
        <w:spacing w:line="360" w:lineRule="auto"/>
        <w:tabs>
          <w:tab w:val="left" w:pos="1080" w:leader="none"/>
          <w:tab w:val="left" w:pos="1589" w:leader="none"/>
          <w:tab w:val="left" w:pos="2035" w:leader="none"/>
        </w:tabs>
        <w:rPr>
          <w:sz w:val="24"/>
        </w:rPr>
      </w:pPr>
      <w:r>
        <w:rPr>
          <w:color w:val="000000"/>
          <w:sz w:val="24"/>
        </w:rPr>
        <w:t xml:space="preserve">中小企业参加政府采购活动，应当按照竞争性磋商文件给定的格式出具《中小企业声明函》，否则不得享受相关中小企业扶持政策。</w:t>
      </w:r>
      <w:r/>
    </w:p>
    <w:p>
      <w:pPr>
        <w:numPr>
          <w:ilvl w:val="2"/>
          <w:numId w:val="11"/>
        </w:numPr>
        <w:ind w:left="2035"/>
        <w:spacing w:line="360" w:lineRule="auto"/>
        <w:tabs>
          <w:tab w:val="left" w:pos="1080" w:leader="none"/>
          <w:tab w:val="left" w:pos="1589"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p>
    <w:p>
      <w:pPr>
        <w:numPr>
          <w:ilvl w:val="2"/>
          <w:numId w:val="11"/>
        </w:numPr>
        <w:ind w:left="2035"/>
        <w:spacing w:line="360" w:lineRule="auto"/>
        <w:tabs>
          <w:tab w:val="left" w:pos="1080" w:leader="none"/>
          <w:tab w:val="left" w:pos="1589" w:leader="none"/>
          <w:tab w:val="left" w:pos="2035" w:leader="none"/>
        </w:tabs>
        <w:rPr>
          <w:sz w:val="24"/>
        </w:rPr>
      </w:pPr>
      <w:r>
        <w:rPr>
          <w:sz w:val="24"/>
        </w:rPr>
        <w:t xml:space="preserve">残疾人福利性单位按竞争性磋商文件要求提供了《残疾人福利性单位声明函》（见附件）的，视同小微企业。</w:t>
      </w:r>
      <w:r/>
    </w:p>
    <w:p>
      <w:pPr>
        <w:numPr>
          <w:ilvl w:val="2"/>
          <w:numId w:val="11"/>
        </w:numPr>
        <w:ind w:left="2035"/>
        <w:spacing w:line="360" w:lineRule="auto"/>
        <w:tabs>
          <w:tab w:val="left" w:pos="1080" w:leader="none"/>
          <w:tab w:val="left" w:pos="1589" w:leader="none"/>
          <w:tab w:val="left" w:pos="2014" w:leader="none"/>
        </w:tabs>
        <w:rPr>
          <w:sz w:val="24"/>
        </w:rPr>
      </w:pPr>
      <w:r>
        <w:rPr>
          <w:sz w:val="24"/>
        </w:rPr>
        <w:t xml:space="preserve">若供应商同时属于小型或微型企业、监狱企业、残疾人福利性单位中的两种及以上，将不重复享受小微企业价格扣减的优惠政策。</w:t>
      </w:r>
      <w:r/>
    </w:p>
    <w:p>
      <w:pPr>
        <w:numPr>
          <w:ilvl w:val="2"/>
          <w:numId w:val="11"/>
        </w:numPr>
        <w:ind w:left="2035"/>
        <w:spacing w:line="360" w:lineRule="auto"/>
        <w:tabs>
          <w:tab w:val="left" w:pos="1080" w:leader="none"/>
          <w:tab w:val="left" w:pos="1589" w:leader="none"/>
          <w:tab w:val="left" w:pos="2014" w:leader="none"/>
        </w:tabs>
        <w:rPr>
          <w:sz w:val="24"/>
        </w:rPr>
      </w:pPr>
      <w:r>
        <w:rPr>
          <w:sz w:val="24"/>
        </w:rPr>
        <w:t xml:space="preserve">其他为落实政府采购政策实施的优先采购：______。</w:t>
      </w:r>
      <w:r/>
    </w:p>
    <w:p>
      <w:pPr>
        <w:numPr>
          <w:ilvl w:val="0"/>
          <w:numId w:val="11"/>
        </w:numPr>
        <w:spacing w:line="360" w:lineRule="auto"/>
        <w:tabs>
          <w:tab w:val="left" w:pos="360" w:leader="none"/>
        </w:tabs>
        <w:rPr>
          <w:sz w:val="24"/>
        </w:rPr>
        <w:outlineLvl w:val="1"/>
      </w:pPr>
      <w:r>
        <w:rPr>
          <w:sz w:val="24"/>
        </w:rPr>
        <w:t xml:space="preserve">磋商环节及提交最终报价后如出现以下情况的，供应商的</w:t>
      </w:r>
      <w:r>
        <w:rPr>
          <w:b/>
          <w:sz w:val="24"/>
        </w:rPr>
        <w:t xml:space="preserve">响应文件无效</w:t>
      </w:r>
      <w:r>
        <w:rPr>
          <w:sz w:val="24"/>
        </w:rPr>
        <w:t xml:space="preserve">：</w:t>
      </w:r>
      <w:r/>
    </w:p>
    <w:p>
      <w:pPr>
        <w:numPr>
          <w:ilvl w:val="1"/>
          <w:numId w:val="11"/>
        </w:numPr>
        <w:ind w:left="1077" w:hanging="720"/>
        <w:spacing w:line="360" w:lineRule="auto"/>
        <w:tabs>
          <w:tab w:val="left" w:pos="1080" w:leader="none"/>
        </w:tabs>
        <w:rPr>
          <w:sz w:val="24"/>
        </w:rPr>
      </w:pPr>
      <w:r>
        <w:rPr>
          <w:sz w:val="24"/>
        </w:rPr>
        <w:t xml:space="preserve">供应商对实质性变动不予确认的；</w:t>
      </w:r>
      <w:r/>
    </w:p>
    <w:p>
      <w:pPr>
        <w:numPr>
          <w:ilvl w:val="1"/>
          <w:numId w:val="11"/>
        </w:numPr>
        <w:ind w:left="1077" w:hanging="720"/>
        <w:spacing w:line="360" w:lineRule="auto"/>
        <w:tabs>
          <w:tab w:val="left" w:pos="1080" w:leader="none"/>
        </w:tabs>
        <w:rPr>
          <w:sz w:val="24"/>
        </w:rPr>
      </w:pPr>
      <w:r>
        <w:rPr>
          <w:sz w:val="24"/>
        </w:rPr>
        <w:t xml:space="preserve">不满足磋商文件</w:t>
      </w:r>
      <w:r>
        <w:rPr>
          <w:rFonts w:ascii="Segoe UI Symbol" w:hAnsi="Segoe UI Symbol" w:cs="Segoe UI Symbol"/>
          <w:sz w:val="24"/>
        </w:rPr>
        <w:t xml:space="preserve">★</w:t>
      </w:r>
      <w:r>
        <w:rPr>
          <w:sz w:val="24"/>
        </w:rPr>
        <w:t xml:space="preserve">号条款或磋商文件技术指标超出磋商文件</w:t>
      </w:r>
      <w:r>
        <w:rPr>
          <w:rFonts w:hint="eastAsia"/>
          <w:sz w:val="24"/>
        </w:rPr>
        <w:t xml:space="preserve">《</w:t>
      </w:r>
      <w:r>
        <w:rPr>
          <w:sz w:val="24"/>
        </w:rPr>
        <w:t xml:space="preserve">采购需求</w:t>
      </w:r>
      <w:r>
        <w:rPr>
          <w:rFonts w:hint="eastAsia"/>
          <w:sz w:val="24"/>
        </w:rPr>
        <w:t xml:space="preserve">》</w:t>
      </w:r>
      <w:r>
        <w:rPr>
          <w:sz w:val="24"/>
        </w:rPr>
        <w:t xml:space="preserve">中主要技术参数允许偏差的最大范围的（如有）；</w:t>
      </w:r>
      <w:r/>
    </w:p>
    <w:p>
      <w:pPr>
        <w:numPr>
          <w:ilvl w:val="1"/>
          <w:numId w:val="11"/>
        </w:numPr>
        <w:ind w:left="1077" w:hanging="720"/>
        <w:spacing w:line="360" w:lineRule="auto"/>
        <w:tabs>
          <w:tab w:val="left" w:pos="1080" w:leader="none"/>
        </w:tabs>
        <w:rPr>
          <w:sz w:val="24"/>
        </w:rPr>
      </w:pPr>
      <w:r>
        <w:rPr>
          <w:sz w:val="24"/>
        </w:rPr>
        <w:t xml:space="preserve">未按照磋商小组规定的时间、逾期提交最终报价的；</w:t>
      </w:r>
      <w:r/>
    </w:p>
    <w:p>
      <w:pPr>
        <w:numPr>
          <w:ilvl w:val="1"/>
          <w:numId w:val="11"/>
        </w:numPr>
        <w:ind w:left="1077" w:hanging="720"/>
        <w:spacing w:line="360" w:lineRule="auto"/>
        <w:tabs>
          <w:tab w:val="left" w:pos="1080" w:leader="none"/>
        </w:tabs>
        <w:rPr>
          <w:sz w:val="24"/>
        </w:rPr>
      </w:pPr>
      <w:r>
        <w:rPr>
          <w:sz w:val="24"/>
        </w:rPr>
        <w:t xml:space="preserve">如供应商的最终报价超过竞争性磋商文件中规定的项目/采购包预算金额或者项目/采购包最高限价的；</w:t>
      </w:r>
      <w:r/>
    </w:p>
    <w:p>
      <w:pPr>
        <w:numPr>
          <w:ilvl w:val="1"/>
          <w:numId w:val="11"/>
        </w:numPr>
        <w:ind w:left="1077" w:hanging="720"/>
        <w:spacing w:line="360" w:lineRule="auto"/>
        <w:tabs>
          <w:tab w:val="left" w:pos="1080" w:leader="none"/>
        </w:tabs>
        <w:rPr>
          <w:sz w:val="24"/>
        </w:rPr>
      </w:pPr>
      <w:r>
        <w:rPr>
          <w:sz w:val="24"/>
        </w:rPr>
        <w:t xml:space="preserve">响应文件中出现可选择性或可调整的报价的（竞争性磋商文件另有规定的除外）；</w:t>
      </w:r>
      <w:r/>
    </w:p>
    <w:p>
      <w:pPr>
        <w:numPr>
          <w:ilvl w:val="1"/>
          <w:numId w:val="11"/>
        </w:numPr>
        <w:ind w:left="1077" w:hanging="720"/>
        <w:spacing w:line="360" w:lineRule="auto"/>
        <w:tabs>
          <w:tab w:val="left" w:pos="1080" w:leader="none"/>
        </w:tabs>
        <w:rPr>
          <w:sz w:val="24"/>
        </w:rPr>
      </w:pPr>
      <w:r>
        <w:rPr>
          <w:sz w:val="24"/>
        </w:rPr>
        <w:t xml:space="preserve">最终报价出现前后不一致，供应商对修正后的报价不予确认的；</w:t>
      </w:r>
      <w:r/>
    </w:p>
    <w:p>
      <w:pPr>
        <w:numPr>
          <w:ilvl w:val="1"/>
          <w:numId w:val="11"/>
        </w:numPr>
        <w:ind w:left="1077" w:hanging="720"/>
        <w:spacing w:line="360" w:lineRule="auto"/>
        <w:tabs>
          <w:tab w:val="left" w:pos="1080" w:leader="none"/>
        </w:tabs>
        <w:rPr>
          <w:sz w:val="24"/>
        </w:rPr>
      </w:pPr>
      <w:r>
        <w:rPr>
          <w:sz w:val="24"/>
        </w:rPr>
        <w:t xml:space="preserve">其他：______。</w:t>
      </w:r>
      <w:bookmarkEnd w:id="621"/>
      <w:r/>
      <w:bookmarkEnd w:id="622"/>
      <w:r/>
      <w:r/>
    </w:p>
    <w:p>
      <w:pPr>
        <w:numPr>
          <w:ilvl w:val="0"/>
          <w:numId w:val="11"/>
        </w:numPr>
        <w:spacing w:line="360" w:lineRule="auto"/>
        <w:tabs>
          <w:tab w:val="left" w:pos="360" w:leader="none"/>
        </w:tabs>
        <w:rPr>
          <w:sz w:val="24"/>
        </w:rPr>
        <w:outlineLvl w:val="1"/>
      </w:pPr>
      <w:r>
        <w:rPr>
          <w:sz w:val="24"/>
        </w:rPr>
        <w:t xml:space="preserve">评审方法和评审标准</w:t>
      </w:r>
      <w:r/>
    </w:p>
    <w:p>
      <w:pPr>
        <w:numPr>
          <w:ilvl w:val="1"/>
          <w:numId w:val="11"/>
        </w:numPr>
        <w:ind w:left="1077" w:hanging="720"/>
        <w:spacing w:line="360" w:lineRule="auto"/>
        <w:tabs>
          <w:tab w:val="left" w:pos="1080" w:leader="none"/>
          <w:tab w:val="left" w:pos="1872" w:leader="none"/>
        </w:tabs>
        <w:rPr>
          <w:sz w:val="24"/>
        </w:rPr>
      </w:pPr>
      <w:r>
        <w:rPr>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11"/>
        </w:numPr>
        <w:ind w:left="1077" w:hanging="720"/>
        <w:spacing w:line="360" w:lineRule="auto"/>
        <w:tabs>
          <w:tab w:val="left" w:pos="1080" w:leader="none"/>
          <w:tab w:val="left" w:pos="1872" w:leader="none"/>
        </w:tabs>
        <w:rPr>
          <w:sz w:val="24"/>
        </w:rPr>
      </w:pPr>
      <w:r>
        <w:rPr>
          <w:sz w:val="24"/>
        </w:rPr>
        <w:t xml:space="preserve">竞争性磋商文件中没有规定的评审标准不得作为评审依据。</w:t>
      </w:r>
      <w:r/>
    </w:p>
    <w:p>
      <w:pPr>
        <w:numPr>
          <w:ilvl w:val="1"/>
          <w:numId w:val="11"/>
        </w:numPr>
        <w:ind w:left="1077" w:hanging="720"/>
        <w:spacing w:line="360" w:lineRule="auto"/>
        <w:tabs>
          <w:tab w:val="left" w:pos="1080" w:leader="none"/>
          <w:tab w:val="left" w:pos="1872" w:leader="none"/>
        </w:tabs>
        <w:rPr>
          <w:sz w:val="24"/>
        </w:rPr>
      </w:pPr>
      <w:r>
        <w:rPr>
          <w:sz w:val="24"/>
        </w:rPr>
        <w:t xml:space="preserve">非政府强制采购的节能产品或环境标志产品，依据品目清单和认证证书实施政府优先采购。优先采购的具体规定（如涉及）______。</w:t>
      </w:r>
      <w:r/>
    </w:p>
    <w:p>
      <w:pPr>
        <w:numPr>
          <w:ilvl w:val="1"/>
          <w:numId w:val="11"/>
        </w:numPr>
        <w:ind w:left="1077" w:hanging="720"/>
        <w:spacing w:line="360" w:lineRule="auto"/>
        <w:tabs>
          <w:tab w:val="left" w:pos="1080" w:leader="none"/>
          <w:tab w:val="left" w:pos="1872" w:leader="none"/>
        </w:tabs>
        <w:rPr>
          <w:sz w:val="24"/>
        </w:rPr>
      </w:pPr>
      <w:r>
        <w:rPr>
          <w:sz w:val="24"/>
        </w:rPr>
        <w:t xml:space="preserve">关于无线局域网认证产品政府采购清单中的产品，优先采购的具体规定（如涉及）______。</w:t>
      </w:r>
      <w:r/>
    </w:p>
    <w:p>
      <w:pPr>
        <w:numPr>
          <w:ilvl w:val="0"/>
          <w:numId w:val="11"/>
        </w:numPr>
        <w:spacing w:line="360" w:lineRule="auto"/>
        <w:tabs>
          <w:tab w:val="left" w:pos="360" w:leader="none"/>
        </w:tabs>
        <w:rPr>
          <w:sz w:val="24"/>
        </w:rPr>
        <w:outlineLvl w:val="1"/>
      </w:pPr>
      <w:r>
        <w:rPr>
          <w:sz w:val="24"/>
        </w:rPr>
        <w:t xml:space="preserve">确定</w:t>
      </w:r>
      <w:bookmarkStart w:id="638" w:name="_Toc195842911"/>
      <w:r/>
      <w:bookmarkStart w:id="639" w:name="_Toc164608660"/>
      <w:r/>
      <w:bookmarkStart w:id="640" w:name="_Toc151193644"/>
      <w:r/>
      <w:bookmarkStart w:id="641" w:name="_Toc151193934"/>
      <w:r/>
      <w:bookmarkStart w:id="642" w:name="_Toc150774751"/>
      <w:r/>
      <w:bookmarkStart w:id="643" w:name="_Toc151193716"/>
      <w:r/>
      <w:bookmarkStart w:id="644" w:name="_Toc150509297"/>
      <w:r/>
      <w:bookmarkStart w:id="645" w:name="_Toc127161460"/>
      <w:r/>
      <w:bookmarkStart w:id="646" w:name="_Toc520356170"/>
      <w:r/>
      <w:bookmarkStart w:id="647" w:name="_Toc150774646"/>
      <w:r/>
      <w:bookmarkStart w:id="648" w:name="_Ref467307010"/>
      <w:r/>
      <w:bookmarkStart w:id="649" w:name="_Toc127151546"/>
      <w:r/>
      <w:bookmarkStart w:id="650" w:name="_Toc164229387"/>
      <w:r/>
      <w:bookmarkStart w:id="651" w:name="_Toc264969236"/>
      <w:r/>
      <w:bookmarkStart w:id="652" w:name="_Toc149720839"/>
      <w:r/>
      <w:bookmarkStart w:id="653" w:name="_Toc305158888"/>
      <w:r/>
      <w:bookmarkStart w:id="654" w:name="_Toc305158814"/>
      <w:r/>
      <w:bookmarkStart w:id="655" w:name="_Toc226965819"/>
      <w:r/>
      <w:bookmarkStart w:id="656" w:name="_Toc150480784"/>
      <w:r/>
      <w:bookmarkStart w:id="657" w:name="_Toc226309790"/>
      <w:r/>
      <w:bookmarkStart w:id="658" w:name="_Toc127151747"/>
      <w:r/>
      <w:bookmarkStart w:id="659" w:name="_Toc151193860"/>
      <w:r/>
      <w:bookmarkStart w:id="660" w:name="_Toc151190173"/>
      <w:r/>
      <w:bookmarkStart w:id="661" w:name="_Toc164229241"/>
      <w:r/>
      <w:bookmarkStart w:id="662" w:name="_Toc265228384"/>
      <w:r/>
      <w:bookmarkStart w:id="663" w:name="_Toc151193788"/>
      <w:r/>
      <w:bookmarkStart w:id="664" w:name="_Toc142311048"/>
      <w:r/>
      <w:bookmarkStart w:id="665" w:name="_Toc164608815"/>
      <w:r/>
      <w:bookmarkStart w:id="666" w:name="_Toc226337242"/>
      <w:r/>
      <w:bookmarkStart w:id="667" w:name="_Toc226965736"/>
      <w:r/>
      <w:bookmarkStart w:id="668" w:name="_Toc164351640"/>
      <w:r>
        <w:rPr>
          <w:sz w:val="24"/>
        </w:rPr>
        <w:t xml:space="preserve">成交候选人名单</w:t>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r/>
    </w:p>
    <w:p>
      <w:pPr>
        <w:numPr>
          <w:ilvl w:val="1"/>
          <w:numId w:val="11"/>
        </w:numPr>
        <w:ind w:left="1077" w:hanging="720"/>
        <w:spacing w:line="360" w:lineRule="auto"/>
        <w:tabs>
          <w:tab w:val="left" w:pos="1080" w:leader="none"/>
          <w:tab w:val="left" w:pos="1872" w:leader="none"/>
        </w:tabs>
        <w:rPr>
          <w:sz w:val="24"/>
        </w:rPr>
      </w:pPr>
      <w:r>
        <w:rPr>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11"/>
        </w:numPr>
        <w:ind w:left="1077" w:hanging="720"/>
        <w:spacing w:line="360" w:lineRule="auto"/>
        <w:tabs>
          <w:tab w:val="left" w:pos="1080" w:leader="none"/>
          <w:tab w:val="left" w:pos="1872" w:leader="none"/>
        </w:tabs>
        <w:rPr>
          <w:sz w:val="24"/>
        </w:rPr>
      </w:pPr>
      <w:r>
        <w:rPr>
          <w:sz w:val="24"/>
          <w:szCs w:val="20"/>
        </w:rPr>
        <w:t xml:space="preserve">磋商小组根据上述供应商排序，依次推荐排序前</w:t>
      </w:r>
      <w:r>
        <w:rPr>
          <w:rFonts w:hint="eastAsia"/>
          <w:sz w:val="24"/>
        </w:rPr>
        <w:t xml:space="preserve">3</w:t>
      </w:r>
      <w:r>
        <w:rPr>
          <w:sz w:val="24"/>
        </w:rPr>
        <w:t xml:space="preserve">名</w:t>
      </w:r>
      <w:r>
        <w:rPr>
          <w:sz w:val="24"/>
          <w:szCs w:val="20"/>
        </w:rPr>
        <w:t xml:space="preserve">的供应商为</w:t>
      </w:r>
      <w:r>
        <w:rPr>
          <w:sz w:val="24"/>
          <w:szCs w:val="21"/>
        </w:rPr>
        <w:t xml:space="preserve">成交候选供应商</w:t>
      </w:r>
      <w:r>
        <w:rPr>
          <w:sz w:val="24"/>
          <w:szCs w:val="20"/>
        </w:rPr>
        <w:t xml:space="preserve">（若在磋商文件允许的情形下提交最终报价的供应商为二家，则依次推荐二名供应商为成交候选供应商），并编写评审报告。</w:t>
      </w:r>
      <w:r/>
    </w:p>
    <w:p>
      <w:pPr>
        <w:numPr>
          <w:ilvl w:val="1"/>
          <w:numId w:val="11"/>
        </w:numPr>
        <w:ind w:left="1077" w:hanging="720"/>
        <w:spacing w:line="360" w:lineRule="auto"/>
        <w:tabs>
          <w:tab w:val="left" w:pos="1080" w:leader="none"/>
          <w:tab w:val="left" w:pos="1872" w:leader="none"/>
        </w:tabs>
        <w:rPr>
          <w:sz w:val="24"/>
        </w:rPr>
      </w:pPr>
      <w:r>
        <w:rPr>
          <w:sz w:val="24"/>
        </w:rPr>
        <w:t xml:space="preserve">磋商小组要对评分汇总情况进行复核，特别是对排名第一的、报价最低的、响应文件被认定为无效的情形进行重点复核。</w:t>
      </w:r>
      <w:r/>
    </w:p>
    <w:p>
      <w:pPr>
        <w:numPr>
          <w:ilvl w:val="0"/>
          <w:numId w:val="11"/>
        </w:numPr>
        <w:spacing w:line="360" w:lineRule="auto"/>
        <w:tabs>
          <w:tab w:val="left" w:pos="360" w:leader="none"/>
        </w:tabs>
        <w:rPr>
          <w:sz w:val="24"/>
        </w:rPr>
        <w:outlineLvl w:val="1"/>
      </w:pPr>
      <w:r>
        <w:rPr>
          <w:sz w:val="24"/>
        </w:rPr>
        <w:t xml:space="preserve">报告违法行为</w:t>
      </w:r>
      <w:r/>
    </w:p>
    <w:p>
      <w:pPr>
        <w:numPr>
          <w:ilvl w:val="1"/>
          <w:numId w:val="11"/>
        </w:numPr>
        <w:ind w:left="1077" w:hanging="720"/>
        <w:jc w:val="left"/>
        <w:spacing w:line="360" w:lineRule="auto"/>
        <w:widowControl/>
        <w:tabs>
          <w:tab w:val="left" w:pos="1080" w:leader="none"/>
          <w:tab w:val="left" w:pos="1872" w:leader="none"/>
        </w:tabs>
        <w:rPr>
          <w:b/>
          <w:sz w:val="24"/>
        </w:rPr>
      </w:pPr>
      <w:r>
        <w:rPr>
          <w:sz w:val="24"/>
        </w:rPr>
        <w:t xml:space="preserve">磋商小组在评审过程中发现供应商有行贿、提供虚假材料或者串通等违法行为时，有向采购人、采购代理机构或者有关部门报告的职责。</w:t>
      </w:r>
      <w:r>
        <w:rPr>
          <w:b/>
          <w:sz w:val="24"/>
        </w:rPr>
        <w:br w:type="page" w:clear="all"/>
      </w:r>
      <w:r/>
    </w:p>
    <w:p>
      <w:pPr>
        <w:pStyle w:val="1033"/>
        <w:spacing w:before="0" w:line="360" w:lineRule="auto"/>
        <w:rPr>
          <w:rFonts w:ascii="Times New Roman" w:hAnsi="Times New Roman" w:eastAsia="宋体"/>
          <w:sz w:val="24"/>
          <w:szCs w:val="24"/>
          <w:highlight w:val="none"/>
        </w:rPr>
      </w:pPr>
      <w:r>
        <w:rPr>
          <w:rFonts w:ascii="Times New Roman" w:hAnsi="Times New Roman" w:eastAsia="宋体"/>
          <w:sz w:val="24"/>
          <w:szCs w:val="24"/>
          <w:highlight w:val="none"/>
        </w:rPr>
        <w:t xml:space="preserve">二、评</w:t>
      </w:r>
      <w:r>
        <w:rPr>
          <w:rFonts w:hint="eastAsia" w:ascii="Times New Roman" w:hAnsi="Times New Roman" w:eastAsia="宋体"/>
          <w:sz w:val="24"/>
          <w:szCs w:val="24"/>
          <w:highlight w:val="none"/>
        </w:rPr>
        <w:t xml:space="preserve">审</w:t>
      </w:r>
      <w:r>
        <w:rPr>
          <w:rFonts w:ascii="Times New Roman" w:hAnsi="Times New Roman" w:eastAsia="宋体"/>
          <w:sz w:val="24"/>
          <w:szCs w:val="24"/>
          <w:highlight w:val="none"/>
        </w:rPr>
        <w:t xml:space="preserve">标准</w:t>
      </w:r>
      <w:r/>
    </w:p>
    <w:tbl>
      <w:tblPr>
        <w:tblStyle w:val="855"/>
        <w:tblW w:w="92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275"/>
        <w:gridCol w:w="715"/>
        <w:gridCol w:w="4558"/>
        <w:gridCol w:w="1835"/>
      </w:tblGrid>
      <w:tr>
        <w:trPr/>
        <w:tc>
          <w:tcPr>
            <w:tcW w:w="835" w:type="dxa"/>
            <w:vAlign w:val="center"/>
            <w:textDirection w:val="lrTb"/>
            <w:noWrap w:val="false"/>
          </w:tcPr>
          <w:p>
            <w:pPr>
              <w:ind w:firstLine="28"/>
              <w:jc w:val="center"/>
              <w:rPr>
                <w:rFonts w:eastAsia="宋体"/>
                <w:b/>
                <w:color w:val="auto"/>
                <w:sz w:val="21"/>
                <w:szCs w:val="21"/>
                <w:highlight w:val="none"/>
              </w:rPr>
            </w:pPr>
            <w:r>
              <w:rPr>
                <w:rFonts w:eastAsia="宋体"/>
                <w:b/>
                <w:color w:val="auto"/>
                <w:sz w:val="21"/>
                <w:szCs w:val="21"/>
                <w:highlight w:val="none"/>
              </w:rPr>
              <w:t xml:space="preserve">序号</w:t>
            </w:r>
            <w:r/>
          </w:p>
        </w:tc>
        <w:tc>
          <w:tcPr>
            <w:tcW w:w="1275" w:type="dxa"/>
            <w:vAlign w:val="center"/>
            <w:textDirection w:val="lrTb"/>
            <w:noWrap w:val="false"/>
          </w:tcPr>
          <w:p>
            <w:pPr>
              <w:ind w:firstLine="28"/>
              <w:jc w:val="center"/>
              <w:rPr>
                <w:rFonts w:eastAsia="宋体"/>
                <w:b/>
                <w:color w:val="auto"/>
                <w:sz w:val="21"/>
                <w:szCs w:val="21"/>
                <w:highlight w:val="none"/>
              </w:rPr>
            </w:pPr>
            <w:r>
              <w:rPr>
                <w:rFonts w:eastAsia="宋体"/>
                <w:b/>
                <w:color w:val="auto"/>
                <w:sz w:val="21"/>
                <w:szCs w:val="21"/>
                <w:highlight w:val="none"/>
              </w:rPr>
              <w:t xml:space="preserve">评分因素</w:t>
            </w:r>
            <w:r/>
          </w:p>
        </w:tc>
        <w:tc>
          <w:tcPr>
            <w:tcW w:w="715" w:type="dxa"/>
            <w:vAlign w:val="center"/>
            <w:textDirection w:val="lrTb"/>
            <w:noWrap w:val="false"/>
          </w:tcPr>
          <w:p>
            <w:pPr>
              <w:ind w:firstLine="28"/>
              <w:jc w:val="center"/>
              <w:rPr>
                <w:rFonts w:eastAsia="宋体"/>
                <w:b/>
                <w:color w:val="auto"/>
                <w:sz w:val="21"/>
                <w:szCs w:val="21"/>
                <w:highlight w:val="none"/>
              </w:rPr>
            </w:pPr>
            <w:r>
              <w:rPr>
                <w:rFonts w:eastAsia="宋体"/>
                <w:b/>
                <w:color w:val="auto"/>
                <w:sz w:val="21"/>
                <w:szCs w:val="21"/>
                <w:highlight w:val="none"/>
              </w:rPr>
              <w:t xml:space="preserve">分值</w:t>
            </w:r>
            <w:r/>
          </w:p>
        </w:tc>
        <w:tc>
          <w:tcPr>
            <w:tcW w:w="4558" w:type="dxa"/>
            <w:vAlign w:val="center"/>
            <w:textDirection w:val="lrTb"/>
            <w:noWrap w:val="false"/>
          </w:tcPr>
          <w:p>
            <w:pPr>
              <w:ind w:firstLine="28"/>
              <w:jc w:val="center"/>
              <w:rPr>
                <w:rFonts w:eastAsia="宋体"/>
                <w:b/>
                <w:color w:val="auto"/>
                <w:sz w:val="21"/>
                <w:szCs w:val="21"/>
                <w:highlight w:val="none"/>
              </w:rPr>
            </w:pPr>
            <w:r>
              <w:rPr>
                <w:rFonts w:eastAsia="宋体"/>
                <w:b/>
                <w:color w:val="auto"/>
                <w:sz w:val="21"/>
                <w:szCs w:val="21"/>
                <w:highlight w:val="none"/>
              </w:rPr>
              <w:t xml:space="preserve">评分标准</w:t>
            </w:r>
            <w:r/>
          </w:p>
        </w:tc>
        <w:tc>
          <w:tcPr>
            <w:tcW w:w="1835" w:type="dxa"/>
            <w:vAlign w:val="center"/>
            <w:textDirection w:val="lrTb"/>
            <w:noWrap w:val="false"/>
          </w:tcPr>
          <w:p>
            <w:pPr>
              <w:pStyle w:val="1275"/>
              <w:spacing w:before="0" w:after="0" w:line="240" w:lineRule="auto"/>
              <w:rPr>
                <w:rFonts w:eastAsia="宋体"/>
                <w:color w:val="auto"/>
                <w:sz w:val="21"/>
                <w:szCs w:val="21"/>
                <w:highlight w:val="none"/>
              </w:rPr>
            </w:pPr>
            <w:r>
              <w:rPr>
                <w:rFonts w:eastAsia="宋体"/>
                <w:color w:val="auto"/>
                <w:sz w:val="21"/>
                <w:szCs w:val="21"/>
                <w:highlight w:val="none"/>
              </w:rPr>
              <w:t xml:space="preserve">说明</w:t>
            </w:r>
            <w:r/>
          </w:p>
        </w:tc>
      </w:tr>
      <w:tr>
        <w:trPr>
          <w:trHeight w:val="1862"/>
        </w:trPr>
        <w:tc>
          <w:tcPr>
            <w:tcW w:w="835" w:type="dxa"/>
            <w:vAlign w:val="center"/>
            <w:textDirection w:val="lrTb"/>
            <w:noWrap w:val="false"/>
          </w:tcPr>
          <w:p>
            <w:pPr>
              <w:ind w:firstLine="28"/>
              <w:jc w:val="center"/>
              <w:rPr>
                <w:rFonts w:eastAsia="宋体"/>
                <w:b/>
                <w:color w:val="auto"/>
                <w:sz w:val="24"/>
                <w:szCs w:val="24"/>
                <w:highlight w:val="none"/>
              </w:rPr>
            </w:pPr>
            <w:r>
              <w:rPr>
                <w:rFonts w:hint="eastAsia" w:eastAsia="宋体"/>
                <w:b/>
                <w:color w:val="auto"/>
                <w:sz w:val="24"/>
                <w:szCs w:val="24"/>
                <w:highlight w:val="none"/>
              </w:rPr>
              <w:t xml:space="preserve">1</w:t>
            </w:r>
            <w:r/>
          </w:p>
        </w:tc>
        <w:tc>
          <w:tcPr>
            <w:tcW w:w="1275" w:type="dxa"/>
            <w:vAlign w:val="center"/>
            <w:textDirection w:val="lrTb"/>
            <w:noWrap w:val="false"/>
          </w:tcPr>
          <w:p>
            <w:pPr>
              <w:ind w:firstLine="28"/>
              <w:jc w:val="center"/>
              <w:rPr>
                <w:rFonts w:eastAsia="宋体"/>
                <w:color w:val="auto"/>
                <w:sz w:val="24"/>
                <w:szCs w:val="24"/>
                <w:highlight w:val="none"/>
              </w:rPr>
            </w:pPr>
            <w:r>
              <w:rPr>
                <w:rFonts w:hint="eastAsia" w:eastAsia="宋体"/>
                <w:color w:val="auto"/>
                <w:sz w:val="24"/>
                <w:szCs w:val="24"/>
                <w:highlight w:val="none"/>
              </w:rPr>
              <w:t xml:space="preserve">价格分</w:t>
            </w:r>
            <w:r/>
          </w:p>
        </w:tc>
        <w:tc>
          <w:tcPr>
            <w:tcW w:w="715" w:type="dxa"/>
            <w:vAlign w:val="center"/>
            <w:textDirection w:val="lrTb"/>
            <w:noWrap w:val="false"/>
          </w:tcPr>
          <w:p>
            <w:pPr>
              <w:ind w:firstLine="28"/>
              <w:jc w:val="center"/>
              <w:rPr>
                <w:rFonts w:hint="default" w:eastAsia="宋体"/>
                <w:color w:val="auto"/>
                <w:sz w:val="24"/>
                <w:szCs w:val="24"/>
                <w:highlight w:val="none"/>
                <w:lang w:val="en-US" w:eastAsia="zh-CN"/>
              </w:rPr>
            </w:pPr>
            <w:r>
              <w:rPr>
                <w:rFonts w:hint="eastAsia" w:eastAsia="宋体"/>
                <w:color w:val="auto"/>
                <w:sz w:val="24"/>
                <w:szCs w:val="24"/>
                <w:highlight w:val="none"/>
                <w:lang w:val="en-US" w:eastAsia="zh-CN"/>
              </w:rPr>
              <w:t xml:space="preserve">10</w:t>
            </w:r>
            <w:r/>
          </w:p>
        </w:tc>
        <w:tc>
          <w:tcPr>
            <w:tcW w:w="4558"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t xml:space="preserve">满足磋商文件要求且</w:t>
            </w:r>
            <w:r>
              <w:rPr>
                <w:rFonts w:hint="eastAsia" w:eastAsia="宋体"/>
                <w:color w:val="auto"/>
                <w:sz w:val="24"/>
                <w:szCs w:val="24"/>
                <w:highlight w:val="none"/>
              </w:rPr>
              <w:t xml:space="preserve">最终报价</w:t>
            </w:r>
            <w:r>
              <w:rPr>
                <w:rFonts w:eastAsia="宋体"/>
                <w:color w:val="auto"/>
                <w:sz w:val="24"/>
                <w:szCs w:val="24"/>
                <w:highlight w:val="none"/>
              </w:rPr>
              <w:t xml:space="preserve">最低的报价为评标基准价，其价格分为满分。其他供应商的价格分统一按照下列公式计算：</w:t>
            </w:r>
            <w:r/>
          </w:p>
          <w:p>
            <w:pPr>
              <w:rPr>
                <w:rFonts w:eastAsia="宋体"/>
                <w:color w:val="auto"/>
                <w:sz w:val="24"/>
                <w:szCs w:val="24"/>
                <w:highlight w:val="none"/>
              </w:rPr>
            </w:pPr>
            <w:r>
              <w:rPr>
                <w:rFonts w:hint="eastAsia" w:eastAsia="宋体"/>
                <w:color w:val="auto"/>
                <w:sz w:val="24"/>
                <w:szCs w:val="24"/>
                <w:highlight w:val="none"/>
              </w:rPr>
              <w:t xml:space="preserve">价格分</w:t>
            </w:r>
            <w:r>
              <w:rPr>
                <w:rFonts w:eastAsia="宋体"/>
                <w:color w:val="auto"/>
                <w:sz w:val="24"/>
                <w:szCs w:val="24"/>
                <w:highlight w:val="none"/>
              </w:rPr>
              <w:t xml:space="preserve">得分＝（评标基准价/</w:t>
            </w:r>
            <w:r>
              <w:rPr>
                <w:rFonts w:hint="eastAsia" w:eastAsia="宋体"/>
                <w:color w:val="auto"/>
                <w:sz w:val="24"/>
                <w:szCs w:val="24"/>
                <w:highlight w:val="none"/>
              </w:rPr>
              <w:t xml:space="preserve">最终报价</w:t>
            </w:r>
            <w:r>
              <w:rPr>
                <w:rFonts w:eastAsia="宋体"/>
                <w:color w:val="auto"/>
                <w:sz w:val="24"/>
                <w:szCs w:val="24"/>
                <w:highlight w:val="none"/>
              </w:rPr>
              <w:t xml:space="preserve">）×</w:t>
            </w:r>
            <w:r>
              <w:rPr>
                <w:rFonts w:hint="eastAsia" w:eastAsia="宋体"/>
                <w:color w:val="auto"/>
                <w:sz w:val="24"/>
                <w:szCs w:val="24"/>
                <w:highlight w:val="none"/>
                <w:lang w:val="en-US" w:eastAsia="zh-CN"/>
              </w:rPr>
              <w:t xml:space="preserve">10</w:t>
            </w:r>
            <w:r>
              <w:rPr>
                <w:rFonts w:eastAsia="宋体"/>
                <w:color w:val="auto"/>
                <w:sz w:val="24"/>
                <w:szCs w:val="24"/>
                <w:highlight w:val="none"/>
              </w:rPr>
              <w:t xml:space="preserve">。</w:t>
            </w:r>
            <w:r/>
          </w:p>
        </w:tc>
        <w:tc>
          <w:tcPr>
            <w:tcW w:w="1835" w:type="dxa"/>
            <w:vAlign w:val="center"/>
            <w:textDirection w:val="lrTb"/>
            <w:noWrap w:val="false"/>
          </w:tcPr>
          <w:p>
            <w:pPr>
              <w:ind w:left="-38"/>
              <w:rPr>
                <w:rFonts w:eastAsia="宋体"/>
                <w:color w:val="auto"/>
                <w:sz w:val="24"/>
                <w:szCs w:val="24"/>
                <w:highlight w:val="none"/>
              </w:rPr>
            </w:pPr>
            <w:r>
              <w:rPr>
                <w:rFonts w:hint="eastAsia" w:eastAsia="宋体"/>
                <w:color w:val="auto"/>
                <w:sz w:val="24"/>
                <w:szCs w:val="24"/>
                <w:highlight w:val="none"/>
              </w:rPr>
              <w:t xml:space="preserve">此处最终报价指经过报价修正，及</w:t>
            </w:r>
            <w:r>
              <w:rPr>
                <w:rFonts w:eastAsia="宋体"/>
                <w:color w:val="auto"/>
                <w:sz w:val="24"/>
                <w:szCs w:val="24"/>
                <w:highlight w:val="none"/>
              </w:rPr>
              <w:t xml:space="preserve">因落实政府采购政策进行价格调整</w:t>
            </w:r>
            <w:r>
              <w:rPr>
                <w:rFonts w:hint="eastAsia" w:eastAsia="宋体"/>
                <w:color w:val="auto"/>
                <w:sz w:val="24"/>
                <w:szCs w:val="24"/>
                <w:highlight w:val="none"/>
              </w:rPr>
              <w:t xml:space="preserve">后</w:t>
            </w:r>
            <w:r>
              <w:rPr>
                <w:rFonts w:eastAsia="宋体"/>
                <w:color w:val="auto"/>
                <w:sz w:val="24"/>
                <w:szCs w:val="24"/>
                <w:highlight w:val="none"/>
              </w:rPr>
              <w:t xml:space="preserve">的</w:t>
            </w:r>
            <w:r>
              <w:rPr>
                <w:rFonts w:hint="eastAsia" w:eastAsia="宋体"/>
                <w:color w:val="auto"/>
                <w:sz w:val="24"/>
                <w:szCs w:val="24"/>
                <w:highlight w:val="none"/>
              </w:rPr>
              <w:t xml:space="preserve">最终报价</w:t>
            </w:r>
            <w:r>
              <w:rPr>
                <w:rFonts w:eastAsia="宋体"/>
                <w:color w:val="auto"/>
                <w:sz w:val="24"/>
                <w:szCs w:val="24"/>
                <w:highlight w:val="none"/>
              </w:rPr>
              <w:t xml:space="preserve">，详见第四章《评标方法和评标标准》</w:t>
            </w:r>
            <w:r>
              <w:rPr>
                <w:rFonts w:hint="eastAsia" w:eastAsia="宋体"/>
                <w:color w:val="auto"/>
                <w:sz w:val="24"/>
                <w:szCs w:val="24"/>
                <w:highlight w:val="none"/>
              </w:rPr>
              <w:t xml:space="preserve">3</w:t>
            </w:r>
            <w:r>
              <w:rPr>
                <w:rFonts w:eastAsia="宋体"/>
                <w:color w:val="auto"/>
                <w:sz w:val="24"/>
                <w:szCs w:val="24"/>
                <w:highlight w:val="none"/>
              </w:rPr>
              <w:t xml:space="preserve">。</w:t>
            </w:r>
            <w:r/>
          </w:p>
        </w:tc>
      </w:tr>
      <w:tr>
        <w:trPr>
          <w:trHeight w:val="474"/>
        </w:trPr>
        <w:tc>
          <w:tcPr>
            <w:tcW w:w="835" w:type="dxa"/>
            <w:vAlign w:val="center"/>
            <w:textDirection w:val="lrTb"/>
            <w:noWrap w:val="false"/>
          </w:tcPr>
          <w:p>
            <w:pPr>
              <w:ind w:firstLine="28"/>
              <w:jc w:val="center"/>
              <w:rPr>
                <w:rFonts w:eastAsia="宋体"/>
                <w:color w:val="auto"/>
                <w:sz w:val="24"/>
                <w:szCs w:val="24"/>
                <w:highlight w:val="none"/>
              </w:rPr>
            </w:pPr>
            <w:r>
              <w:rPr>
                <w:rFonts w:hint="eastAsia" w:eastAsia="宋体"/>
                <w:color w:val="auto"/>
                <w:sz w:val="24"/>
                <w:szCs w:val="24"/>
                <w:highlight w:val="none"/>
              </w:rPr>
              <w:t xml:space="preserve">2</w:t>
            </w:r>
            <w:r/>
          </w:p>
        </w:tc>
        <w:tc>
          <w:tcPr>
            <w:tcW w:w="1275" w:type="dxa"/>
            <w:vAlign w:val="center"/>
            <w:textDirection w:val="lrTb"/>
            <w:noWrap w:val="false"/>
          </w:tcPr>
          <w:p>
            <w:pPr>
              <w:ind w:firstLine="28"/>
              <w:jc w:val="center"/>
              <w:rPr>
                <w:rFonts w:eastAsia="宋体"/>
                <w:color w:val="auto"/>
                <w:sz w:val="24"/>
                <w:szCs w:val="24"/>
                <w:highlight w:val="none"/>
              </w:rPr>
            </w:pPr>
            <w:r>
              <w:rPr>
                <w:rFonts w:hint="eastAsia" w:eastAsia="宋体"/>
                <w:color w:val="auto"/>
                <w:sz w:val="24"/>
                <w:szCs w:val="24"/>
                <w:highlight w:val="none"/>
              </w:rPr>
              <w:t xml:space="preserve">主观分</w:t>
            </w:r>
            <w:r/>
          </w:p>
        </w:tc>
        <w:tc>
          <w:tcPr>
            <w:tcW w:w="715" w:type="dxa"/>
            <w:vAlign w:val="center"/>
            <w:textDirection w:val="lrTb"/>
            <w:noWrap w:val="false"/>
          </w:tcPr>
          <w:p>
            <w:pPr>
              <w:ind w:firstLine="28"/>
              <w:jc w:val="center"/>
              <w:rPr>
                <w:rFonts w:hint="default" w:eastAsia="宋体"/>
                <w:color w:val="auto"/>
                <w:sz w:val="24"/>
                <w:szCs w:val="24"/>
                <w:highlight w:val="none"/>
                <w:lang w:val="en-US" w:eastAsia="zh-CN"/>
              </w:rPr>
            </w:pPr>
            <w:r>
              <w:rPr>
                <w:rFonts w:hint="eastAsia" w:eastAsia="宋体"/>
                <w:color w:val="auto"/>
                <w:sz w:val="24"/>
                <w:szCs w:val="24"/>
                <w:highlight w:val="none"/>
                <w:lang w:val="en-US" w:eastAsia="zh-CN"/>
              </w:rPr>
              <w:t xml:space="preserve">65</w:t>
            </w:r>
            <w:r/>
          </w:p>
        </w:tc>
        <w:tc>
          <w:tcPr>
            <w:tcW w:w="4558"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835" w:type="dxa"/>
            <w:vAlign w:val="center"/>
            <w:textDirection w:val="lrTb"/>
            <w:noWrap w:val="false"/>
          </w:tcPr>
          <w:p>
            <w:pPr>
              <w:ind w:left="-38"/>
              <w:rPr>
                <w:rFonts w:eastAsia="宋体"/>
                <w:color w:val="auto"/>
                <w:sz w:val="24"/>
                <w:szCs w:val="24"/>
                <w:highlight w:val="none"/>
              </w:rPr>
            </w:pPr>
            <w:r>
              <w:rPr>
                <w:rFonts w:eastAsia="宋体"/>
                <w:color w:val="auto"/>
                <w:sz w:val="24"/>
                <w:szCs w:val="24"/>
                <w:highlight w:val="none"/>
              </w:rPr>
            </w:r>
            <w:r/>
          </w:p>
        </w:tc>
      </w:tr>
      <w:tr>
        <w:trPr>
          <w:trHeight w:val="3245"/>
        </w:trPr>
        <w:tc>
          <w:tcPr>
            <w:tcW w:w="835" w:type="dxa"/>
            <w:vAlign w:val="center"/>
            <w:textDirection w:val="lrTb"/>
            <w:noWrap w:val="false"/>
          </w:tcPr>
          <w:p>
            <w:pPr>
              <w:ind w:firstLine="28"/>
              <w:jc w:val="center"/>
              <w:rPr>
                <w:rFonts w:eastAsia="宋体"/>
                <w:color w:val="auto"/>
                <w:sz w:val="24"/>
                <w:szCs w:val="24"/>
                <w:highlight w:val="none"/>
              </w:rPr>
            </w:pPr>
            <w:r>
              <w:rPr>
                <w:rFonts w:hint="eastAsia" w:eastAsia="宋体"/>
                <w:color w:val="auto"/>
                <w:sz w:val="24"/>
                <w:szCs w:val="24"/>
                <w:highlight w:val="none"/>
              </w:rPr>
              <w:t xml:space="preserve">2.1</w:t>
            </w:r>
            <w:r/>
          </w:p>
        </w:tc>
        <w:tc>
          <w:tcPr>
            <w:tcW w:w="1275" w:type="dxa"/>
            <w:vAlign w:val="center"/>
            <w:textDirection w:val="lrTb"/>
            <w:noWrap w:val="false"/>
          </w:tcPr>
          <w:p>
            <w:pPr>
              <w:ind w:firstLine="28"/>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整体服务方案</w:t>
            </w:r>
            <w:r/>
          </w:p>
        </w:tc>
        <w:tc>
          <w:tcPr>
            <w:tcW w:w="715" w:type="dxa"/>
            <w:vAlign w:val="center"/>
            <w:textDirection w:val="lrTb"/>
            <w:noWrap w:val="false"/>
          </w:tcPr>
          <w:p>
            <w:pPr>
              <w:ind w:firstLine="28"/>
              <w:jc w:val="center"/>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15</w:t>
            </w:r>
            <w:r/>
          </w:p>
        </w:tc>
        <w:tc>
          <w:tcPr>
            <w:tcW w:w="4558" w:type="dxa"/>
            <w:vAlign w:val="center"/>
            <w:textDirection w:val="lrTb"/>
            <w:noWrap w:val="false"/>
          </w:tcPr>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结合项目需求和实际情况，提供</w:t>
            </w:r>
            <w:r>
              <w:rPr>
                <w:rFonts w:hint="eastAsia" w:ascii="Times New Roman" w:hAnsi="Times New Roman" w:eastAsia="宋体" w:cs="Times New Roman"/>
                <w:color w:val="auto"/>
                <w:sz w:val="24"/>
                <w:szCs w:val="24"/>
                <w:highlight w:val="none"/>
                <w:lang w:val="en-US" w:eastAsia="zh-CN"/>
              </w:rPr>
              <w:t xml:space="preserve">整体服务方案</w:t>
            </w:r>
            <w:r>
              <w:rPr>
                <w:rFonts w:hint="eastAsia" w:ascii="Times New Roman" w:hAnsi="Times New Roman" w:eastAsia="宋体" w:cs="Times New Roman"/>
                <w:color w:val="auto"/>
                <w:sz w:val="24"/>
                <w:szCs w:val="24"/>
                <w:highlight w:val="none"/>
              </w:rPr>
              <w:t xml:space="preserve">，包括</w:t>
            </w:r>
            <w:r>
              <w:rPr>
                <w:rFonts w:hint="eastAsia" w:ascii="Times New Roman" w:hAnsi="Times New Roman" w:eastAsia="宋体" w:cs="Times New Roman"/>
                <w:color w:val="auto"/>
                <w:sz w:val="24"/>
                <w:szCs w:val="24"/>
                <w:highlight w:val="none"/>
              </w:rPr>
              <w:fldChar w:fldCharType="begin"/>
            </w:r>
            <w:r>
              <w:rPr>
                <w:rFonts w:hint="eastAsia" w:ascii="Times New Roman" w:hAnsi="Times New Roman" w:eastAsia="宋体" w:cs="Times New Roman"/>
                <w:color w:val="auto"/>
                <w:sz w:val="24"/>
                <w:szCs w:val="24"/>
                <w:highlight w:val="none"/>
              </w:rPr>
              <w:instrText xml:space="preserve"> = 1 \* GB3 </w:instrText>
            </w:r>
            <w:r>
              <w:rPr>
                <w:rFonts w:hint="eastAsia" w:ascii="Times New Roman" w:hAnsi="Times New Roman" w:eastAsia="宋体" w:cs="Times New Roman"/>
                <w:color w:val="auto"/>
                <w:sz w:val="24"/>
                <w:szCs w:val="24"/>
                <w:highlight w:val="none"/>
              </w:rPr>
              <w:fldChar w:fldCharType="separate"/>
            </w:r>
            <w:r>
              <w:rPr>
                <w:rFonts w:hint="eastAsia" w:ascii="Times New Roman" w:hAnsi="Times New Roman" w:eastAsia="宋体" w:cs="Times New Roman"/>
                <w:color w:val="auto"/>
                <w:sz w:val="24"/>
                <w:szCs w:val="24"/>
                <w:highlight w:val="none"/>
              </w:rPr>
              <w:t xml:space="preserve">①</w:t>
            </w:r>
            <w:r>
              <w:rPr>
                <w:rFonts w:hint="eastAsia" w:ascii="Times New Roman" w:hAnsi="Times New Roman" w:eastAsia="宋体" w:cs="Times New Roman"/>
                <w:color w:val="auto"/>
                <w:sz w:val="24"/>
                <w:szCs w:val="24"/>
                <w:highlight w:val="none"/>
              </w:rPr>
              <w:fldChar w:fldCharType="end"/>
              <w:t xml:space="preserve">度假区</w:t>
            </w:r>
            <w:r>
              <w:rPr>
                <w:rFonts w:hint="eastAsia" w:ascii="Times New Roman" w:hAnsi="Times New Roman" w:eastAsia="宋体" w:cs="Times New Roman"/>
                <w:color w:val="auto"/>
                <w:sz w:val="24"/>
                <w:szCs w:val="24"/>
                <w:highlight w:val="none"/>
                <w:lang w:val="en-US" w:eastAsia="zh-CN"/>
              </w:rPr>
              <w:t xml:space="preserve">路面油污②度假区内村庄出入口路面污染③店外出摊路面保洁④绿化管养造成的道路积尘</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5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⑤</w:t>
            </w:r>
            <w:r>
              <w:rPr>
                <w:rFonts w:hint="eastAsia" w:ascii="宋体" w:hAnsi="宋体" w:eastAsia="宋体" w:cs="宋体"/>
                <w:sz w:val="24"/>
                <w:szCs w:val="24"/>
                <w:highlight w:val="none"/>
              </w:rPr>
              <w:fldChar w:fldCharType="end"/>
            </w:r>
            <w:r>
              <w:rPr>
                <w:rFonts w:hint="eastAsia" w:ascii="宋体" w:hAnsi="宋体"/>
                <w:sz w:val="24"/>
                <w:highlight w:val="none"/>
                <w:lang w:val="en-US" w:eastAsia="zh-CN"/>
              </w:rPr>
              <w:t xml:space="preserve">整体服务规划</w:t>
            </w:r>
            <w:r>
              <w:rPr>
                <w:rFonts w:hint="eastAsia" w:ascii="Times New Roman" w:hAnsi="Times New Roman" w:eastAsia="宋体" w:cs="Times New Roman"/>
                <w:color w:val="auto"/>
                <w:sz w:val="24"/>
                <w:szCs w:val="24"/>
                <w:highlight w:val="none"/>
              </w:rPr>
              <w:t xml:space="preserve">等要点。</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评审标准如下：</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 内容完整性与针对性（</w:t>
            </w:r>
            <w:r>
              <w:rPr>
                <w:rFonts w:hint="eastAsia" w:cs="Times New Roman"/>
                <w:color w:val="auto"/>
                <w:sz w:val="24"/>
                <w:szCs w:val="24"/>
                <w:highlight w:val="none"/>
                <w:lang w:val="en-US" w:eastAsia="zh-CN"/>
              </w:rPr>
              <w:t xml:space="preserve">15</w:t>
            </w:r>
            <w:r>
              <w:rPr>
                <w:rFonts w:hint="eastAsia" w:ascii="Times New Roman" w:hAnsi="Times New Roman" w:eastAsia="宋体" w:cs="Times New Roman"/>
                <w:color w:val="auto"/>
                <w:sz w:val="24"/>
                <w:szCs w:val="24"/>
                <w:highlight w:val="none"/>
              </w:rPr>
              <w:t xml:space="preserve">分）：方案内容完整、详细，且精准响应采购文件及项目需求的，得</w:t>
            </w:r>
            <w:r>
              <w:rPr>
                <w:rFonts w:hint="eastAsia" w:cs="Times New Roman"/>
                <w:color w:val="auto"/>
                <w:sz w:val="24"/>
                <w:szCs w:val="24"/>
                <w:highlight w:val="none"/>
                <w:lang w:val="en-US" w:eastAsia="zh-CN"/>
              </w:rPr>
              <w:t xml:space="preserve">15</w:t>
            </w:r>
            <w:r>
              <w:rPr>
                <w:rFonts w:hint="eastAsia" w:ascii="Times New Roman" w:hAnsi="Times New Roman" w:eastAsia="宋体" w:cs="Times New Roman"/>
                <w:color w:val="auto"/>
                <w:sz w:val="24"/>
                <w:szCs w:val="24"/>
                <w:highlight w:val="none"/>
              </w:rPr>
              <w:t xml:space="preserve">分。</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 内容缺失扣分：每缺失一项上述核心内容，扣</w:t>
            </w:r>
            <w:r>
              <w:rPr>
                <w:rFonts w:hint="eastAsia" w:cs="Times New Roman"/>
                <w:color w:val="auto"/>
                <w:sz w:val="24"/>
                <w:szCs w:val="24"/>
                <w:highlight w:val="none"/>
                <w:lang w:val="en-US" w:eastAsia="zh-CN"/>
              </w:rPr>
              <w:t xml:space="preserve">3</w:t>
            </w:r>
            <w:r>
              <w:rPr>
                <w:rFonts w:hint="eastAsia" w:ascii="Times New Roman" w:hAnsi="Times New Roman" w:eastAsia="宋体" w:cs="Times New Roman"/>
                <w:color w:val="auto"/>
                <w:sz w:val="24"/>
                <w:szCs w:val="24"/>
                <w:highlight w:val="none"/>
              </w:rPr>
              <w:t xml:space="preserve">分。</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3. 错误与瑕疵扣分：</w:t>
            </w:r>
            <w:r>
              <w:rPr>
                <w:rFonts w:hint="eastAsia" w:ascii="宋体" w:hAnsi="宋体" w:eastAsia="宋体" w:cs="宋体"/>
                <w:sz w:val="24"/>
                <w:szCs w:val="24"/>
                <w:highlight w:val="none"/>
              </w:rPr>
              <w:t xml:space="preserve">方案每有一处存在错误或瑕疵的扣0.5分</w:t>
            </w:r>
            <w:r>
              <w:rPr>
                <w:rFonts w:hint="eastAsia" w:ascii="宋体" w:hAnsi="宋体" w:cs="宋体"/>
                <w:color w:val="000000" w:themeColor="text1"/>
                <w:sz w:val="24"/>
                <w:highlight w:val="none"/>
              </w:rPr>
              <w:t xml:space="preserve">（</w:t>
            </w:r>
            <w:r>
              <w:rPr>
                <w:rFonts w:hint="eastAsia" w:ascii="宋体" w:hAnsi="宋体" w:eastAsia="宋体" w:cs="宋体"/>
                <w:sz w:val="24"/>
                <w:szCs w:val="24"/>
                <w:highlight w:val="none"/>
              </w:rPr>
              <w:t xml:space="preserve">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cs="宋体"/>
                <w:color w:val="000000" w:themeColor="text1"/>
                <w:sz w:val="24"/>
                <w:highlight w:val="none"/>
              </w:rPr>
              <w:t xml:space="preserve">）</w:t>
            </w:r>
            <w:r>
              <w:rPr>
                <w:rFonts w:hint="eastAsia" w:ascii="Times New Roman" w:hAnsi="Times New Roman" w:eastAsia="宋体" w:cs="Times New Roman"/>
                <w:color w:val="auto"/>
                <w:sz w:val="24"/>
                <w:szCs w:val="24"/>
                <w:highlight w:val="none"/>
              </w:rPr>
              <w:t xml:space="preserve">，扣0.5分。</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4. 扣分累计直至本项分值扣完为止。</w:t>
            </w:r>
            <w:r/>
          </w:p>
          <w:p>
            <w:pPr>
              <w:ind w:firstLine="28"/>
              <w:jc w:val="both"/>
              <w:rPr>
                <w:rFonts w:hint="eastAsia"/>
              </w:rPr>
            </w:pPr>
            <w:r>
              <w:rPr>
                <w:rFonts w:hint="eastAsia" w:ascii="Times New Roman" w:hAnsi="Times New Roman" w:eastAsia="宋体" w:cs="Times New Roman"/>
                <w:color w:val="auto"/>
                <w:sz w:val="24"/>
                <w:szCs w:val="24"/>
                <w:highlight w:val="none"/>
              </w:rPr>
              <w:t xml:space="preserve">5. 未提供方案，本项得0分。</w:t>
            </w:r>
            <w:r/>
          </w:p>
        </w:tc>
        <w:tc>
          <w:tcPr>
            <w:tcW w:w="1835" w:type="dxa"/>
            <w:vAlign w:val="center"/>
            <w:textDirection w:val="lrTb"/>
            <w:noWrap w:val="false"/>
          </w:tcPr>
          <w:p>
            <w:pPr>
              <w:ind w:left="-38"/>
              <w:rPr>
                <w:rFonts w:eastAsia="宋体"/>
                <w:color w:val="auto"/>
                <w:sz w:val="24"/>
                <w:szCs w:val="24"/>
                <w:highlight w:val="none"/>
              </w:rPr>
            </w:pPr>
            <w:r>
              <w:rPr>
                <w:rFonts w:eastAsia="宋体"/>
                <w:color w:val="auto"/>
                <w:sz w:val="24"/>
                <w:szCs w:val="24"/>
                <w:highlight w:val="none"/>
              </w:rPr>
            </w:r>
            <w:r/>
          </w:p>
        </w:tc>
      </w:tr>
      <w:tr>
        <w:trPr>
          <w:trHeight w:val="2182"/>
        </w:trPr>
        <w:tc>
          <w:tcPr>
            <w:tcW w:w="835" w:type="dxa"/>
            <w:vAlign w:val="center"/>
            <w:textDirection w:val="lrTb"/>
            <w:noWrap w:val="false"/>
          </w:tcPr>
          <w:p>
            <w:pPr>
              <w:ind w:firstLine="28"/>
              <w:jc w:val="center"/>
              <w:rPr>
                <w:rFonts w:hint="default" w:eastAsia="宋体"/>
                <w:color w:val="auto"/>
                <w:sz w:val="24"/>
                <w:szCs w:val="24"/>
                <w:highlight w:val="none"/>
                <w:lang w:val="en-US" w:eastAsia="zh-CN"/>
              </w:rPr>
            </w:pPr>
            <w:r>
              <w:rPr>
                <w:rFonts w:hint="eastAsia" w:eastAsia="宋体"/>
                <w:color w:val="auto"/>
                <w:sz w:val="24"/>
                <w:szCs w:val="24"/>
                <w:highlight w:val="none"/>
                <w:lang w:val="en-US" w:eastAsia="zh-CN"/>
              </w:rPr>
              <w:t xml:space="preserve">2.2</w:t>
            </w:r>
            <w:r/>
          </w:p>
        </w:tc>
        <w:tc>
          <w:tcPr>
            <w:tcW w:w="1275" w:type="dxa"/>
            <w:vAlign w:val="center"/>
            <w:textDirection w:val="lrTb"/>
            <w:noWrap w:val="false"/>
          </w:tcPr>
          <w:p>
            <w:pPr>
              <w:ind w:firstLine="28"/>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保洁</w:t>
            </w:r>
            <w:r>
              <w:rPr>
                <w:rFonts w:hint="eastAsia" w:ascii="Times New Roman" w:hAnsi="Times New Roman" w:eastAsia="宋体" w:cs="Times New Roman"/>
                <w:color w:val="auto"/>
                <w:sz w:val="24"/>
                <w:szCs w:val="24"/>
                <w:highlight w:val="none"/>
              </w:rPr>
              <w:t xml:space="preserve">作业方案</w:t>
            </w:r>
            <w:r/>
          </w:p>
        </w:tc>
        <w:tc>
          <w:tcPr>
            <w:tcW w:w="715" w:type="dxa"/>
            <w:vAlign w:val="center"/>
            <w:textDirection w:val="lrTb"/>
            <w:noWrap w:val="false"/>
          </w:tcPr>
          <w:p>
            <w:pPr>
              <w:ind w:firstLine="28"/>
              <w:jc w:val="center"/>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10</w:t>
            </w:r>
            <w:r/>
          </w:p>
        </w:tc>
        <w:tc>
          <w:tcPr>
            <w:tcW w:w="4558" w:type="dxa"/>
            <w:vAlign w:val="center"/>
            <w:textDirection w:val="lrTb"/>
            <w:noWrap w:val="false"/>
          </w:tcPr>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结合项目需求和实际情况，提供</w:t>
            </w:r>
            <w:r>
              <w:rPr>
                <w:rFonts w:hint="eastAsia" w:ascii="Times New Roman" w:hAnsi="Times New Roman" w:eastAsia="宋体" w:cs="Times New Roman"/>
                <w:color w:val="auto"/>
                <w:sz w:val="24"/>
                <w:szCs w:val="24"/>
                <w:highlight w:val="none"/>
                <w:lang w:val="en-US" w:eastAsia="zh-CN"/>
              </w:rPr>
              <w:t xml:space="preserve">保洁</w:t>
            </w:r>
            <w:r>
              <w:rPr>
                <w:rFonts w:hint="eastAsia" w:ascii="Times New Roman" w:hAnsi="Times New Roman" w:eastAsia="宋体" w:cs="Times New Roman"/>
                <w:color w:val="auto"/>
                <w:sz w:val="24"/>
                <w:szCs w:val="24"/>
                <w:highlight w:val="none"/>
              </w:rPr>
              <w:t xml:space="preserve">作业方案，包括</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1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①</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lang w:val="en-US" w:eastAsia="zh-CN"/>
              </w:rPr>
              <w:t xml:space="preserve"> </w:t>
            </w:r>
            <w:r>
              <w:rPr>
                <w:rFonts w:hint="eastAsia" w:ascii="Times New Roman" w:hAnsi="Times New Roman" w:eastAsia="宋体" w:cs="Times New Roman"/>
                <w:color w:val="auto"/>
                <w:sz w:val="24"/>
                <w:szCs w:val="24"/>
                <w:highlight w:val="none"/>
              </w:rPr>
              <w:t xml:space="preserve">作业人员配备</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2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②</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lang w:val="en-US" w:eastAsia="zh-CN"/>
              </w:rPr>
              <w:t xml:space="preserve"> </w:t>
            </w:r>
            <w:r>
              <w:rPr>
                <w:rFonts w:hint="eastAsia" w:ascii="Times New Roman" w:hAnsi="Times New Roman" w:eastAsia="宋体" w:cs="Times New Roman"/>
                <w:color w:val="auto"/>
                <w:sz w:val="24"/>
                <w:szCs w:val="24"/>
                <w:highlight w:val="none"/>
              </w:rPr>
              <w:t xml:space="preserve">作业时间安排</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3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③</w:t>
            </w:r>
            <w:r>
              <w:rPr>
                <w:rFonts w:hint="eastAsia" w:ascii="宋体" w:hAnsi="宋体" w:eastAsia="宋体" w:cs="宋体"/>
                <w:sz w:val="24"/>
                <w:szCs w:val="24"/>
                <w:highlight w:val="none"/>
              </w:rPr>
              <w:fldChar w:fldCharType="end"/>
            </w:r>
            <w:r>
              <w:rPr>
                <w:rFonts w:hint="eastAsia" w:ascii="Times New Roman" w:hAnsi="Times New Roman" w:eastAsia="宋体" w:cs="Times New Roman"/>
                <w:color w:val="auto"/>
                <w:sz w:val="24"/>
                <w:szCs w:val="24"/>
                <w:highlight w:val="none"/>
              </w:rPr>
              <w:t xml:space="preserve">进退场交接措施</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4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④</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rPr>
              <w:t xml:space="preserve">保洁措施</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5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⑤</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rPr>
              <w:t xml:space="preserve">设备</w:t>
            </w:r>
            <w:r>
              <w:rPr>
                <w:rFonts w:hint="eastAsia" w:ascii="宋体" w:hAnsi="宋体" w:eastAsia="宋体" w:cs="宋体"/>
                <w:color w:val="000000"/>
                <w:sz w:val="24"/>
                <w:szCs w:val="24"/>
                <w:highlight w:val="none"/>
                <w:lang w:val="en-US" w:eastAsia="zh-CN"/>
              </w:rPr>
              <w:t xml:space="preserve">配置</w:t>
            </w:r>
            <w:r>
              <w:rPr>
                <w:rFonts w:hint="eastAsia" w:ascii="宋体" w:hAnsi="宋体" w:eastAsia="宋体" w:cs="宋体"/>
                <w:sz w:val="24"/>
                <w:szCs w:val="24"/>
                <w:highlight w:val="none"/>
                <w:lang w:eastAsia="zh-CN"/>
              </w:rPr>
              <w:t xml:space="preserve">等</w:t>
            </w:r>
            <w:r>
              <w:rPr>
                <w:rFonts w:hint="eastAsia" w:ascii="Times New Roman" w:hAnsi="Times New Roman" w:eastAsia="宋体" w:cs="Times New Roman"/>
                <w:color w:val="auto"/>
                <w:sz w:val="24"/>
                <w:szCs w:val="24"/>
                <w:highlight w:val="none"/>
              </w:rPr>
              <w:t xml:space="preserve">要点。</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评审标准如下：</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 内容完整性与针对性（10分）：方案内容完整、详细，且精准响应采购文件及项目需求的，得10分。</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 内容缺失扣分：每缺失一项上述核心内容，扣2分。</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3. 错误与瑕疵扣分：</w:t>
            </w:r>
            <w:r>
              <w:rPr>
                <w:rFonts w:hint="eastAsia" w:ascii="宋体" w:hAnsi="宋体" w:eastAsia="宋体" w:cs="宋体"/>
                <w:sz w:val="24"/>
                <w:szCs w:val="24"/>
                <w:highlight w:val="none"/>
              </w:rPr>
              <w:t xml:space="preserve">方案每有一处存在错误或瑕疵的扣0.5分</w:t>
            </w:r>
            <w:r>
              <w:rPr>
                <w:rFonts w:hint="eastAsia" w:ascii="宋体" w:hAnsi="宋体" w:eastAsia="宋体" w:cs="宋体"/>
                <w:color w:val="000000" w:themeColor="text1"/>
                <w:sz w:val="24"/>
                <w:highlight w:val="none"/>
              </w:rPr>
              <w:t xml:space="preserve">（</w:t>
            </w:r>
            <w:r>
              <w:rPr>
                <w:rFonts w:hint="eastAsia" w:ascii="宋体" w:hAnsi="宋体" w:eastAsia="宋体" w:cs="宋体"/>
                <w:sz w:val="24"/>
                <w:szCs w:val="24"/>
                <w:highlight w:val="none"/>
              </w:rPr>
              <w:t xml:space="preserve">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color w:val="000000" w:themeColor="text1"/>
                <w:sz w:val="24"/>
                <w:highlight w:val="none"/>
              </w:rPr>
              <w:t xml:space="preserve">）</w:t>
            </w:r>
            <w:r>
              <w:rPr>
                <w:rFonts w:hint="eastAsia" w:ascii="Times New Roman" w:hAnsi="Times New Roman" w:eastAsia="宋体" w:cs="Times New Roman"/>
                <w:color w:val="auto"/>
                <w:sz w:val="24"/>
                <w:szCs w:val="24"/>
                <w:highlight w:val="none"/>
              </w:rPr>
              <w:t xml:space="preserve">，扣0.5分。</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4. 扣分累计直至本项分值扣完为止。</w:t>
            </w:r>
            <w:r/>
          </w:p>
          <w:p>
            <w:pPr>
              <w:pStyle w:val="859"/>
              <w:rPr>
                <w:rFonts w:hint="eastAsia"/>
              </w:rPr>
            </w:pPr>
            <w:r>
              <w:rPr>
                <w:rFonts w:hint="eastAsia" w:ascii="Times New Roman" w:hAnsi="Times New Roman" w:eastAsia="宋体" w:cs="Times New Roman"/>
                <w:color w:val="auto"/>
                <w:sz w:val="24"/>
                <w:szCs w:val="24"/>
                <w:highlight w:val="none"/>
              </w:rPr>
              <w:t xml:space="preserve">5. 未提供方案，本项得0分。</w:t>
            </w:r>
            <w:r/>
          </w:p>
        </w:tc>
        <w:tc>
          <w:tcPr>
            <w:tcW w:w="1835" w:type="dxa"/>
            <w:vAlign w:val="center"/>
            <w:textDirection w:val="lrTb"/>
            <w:noWrap w:val="false"/>
          </w:tcPr>
          <w:p>
            <w:pPr>
              <w:ind w:left="-38"/>
              <w:rPr>
                <w:rFonts w:eastAsia="宋体"/>
                <w:color w:val="auto"/>
                <w:sz w:val="24"/>
                <w:szCs w:val="24"/>
                <w:highlight w:val="none"/>
              </w:rPr>
            </w:pPr>
            <w:r>
              <w:rPr>
                <w:rFonts w:eastAsia="宋体"/>
                <w:color w:val="auto"/>
                <w:sz w:val="24"/>
                <w:szCs w:val="24"/>
                <w:highlight w:val="none"/>
              </w:rPr>
            </w:r>
            <w:r/>
          </w:p>
        </w:tc>
      </w:tr>
      <w:tr>
        <w:trPr>
          <w:trHeight w:val="1946"/>
        </w:trPr>
        <w:tc>
          <w:tcPr>
            <w:tcW w:w="835" w:type="dxa"/>
            <w:vAlign w:val="center"/>
            <w:textDirection w:val="lrTb"/>
            <w:noWrap w:val="false"/>
          </w:tcPr>
          <w:p>
            <w:pPr>
              <w:ind w:firstLine="28"/>
              <w:jc w:val="center"/>
              <w:rPr>
                <w:rFonts w:hint="default" w:eastAsia="宋体"/>
                <w:color w:val="auto"/>
                <w:sz w:val="24"/>
                <w:szCs w:val="24"/>
                <w:highlight w:val="none"/>
                <w:lang w:val="en-US" w:eastAsia="zh-CN"/>
              </w:rPr>
            </w:pPr>
            <w:r>
              <w:rPr>
                <w:rFonts w:hint="eastAsia" w:eastAsia="宋体"/>
                <w:color w:val="auto"/>
                <w:sz w:val="24"/>
                <w:szCs w:val="24"/>
                <w:highlight w:val="none"/>
                <w:lang w:val="en-US" w:eastAsia="zh-CN"/>
              </w:rPr>
              <w:t xml:space="preserve">2.3</w:t>
            </w:r>
            <w:r/>
          </w:p>
        </w:tc>
        <w:tc>
          <w:tcPr>
            <w:tcW w:w="1275" w:type="dxa"/>
            <w:vAlign w:val="center"/>
            <w:textDirection w:val="lrTb"/>
            <w:noWrap w:val="false"/>
          </w:tcPr>
          <w:p>
            <w:pPr>
              <w:ind w:firstLine="28"/>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sz w:val="24"/>
                <w:szCs w:val="24"/>
              </w:rPr>
              <w:t xml:space="preserve">质量保证措施</w:t>
            </w:r>
            <w:r/>
          </w:p>
        </w:tc>
        <w:tc>
          <w:tcPr>
            <w:tcW w:w="715" w:type="dxa"/>
            <w:vAlign w:val="center"/>
            <w:textDirection w:val="lrTb"/>
            <w:noWrap w:val="false"/>
          </w:tcPr>
          <w:p>
            <w:pPr>
              <w:ind w:firstLine="28"/>
              <w:jc w:val="center"/>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10</w:t>
            </w:r>
            <w:r/>
          </w:p>
        </w:tc>
        <w:tc>
          <w:tcPr>
            <w:tcW w:w="4558" w:type="dxa"/>
            <w:vAlign w:val="center"/>
            <w:textDirection w:val="lrTb"/>
            <w:noWrap w:val="false"/>
          </w:tcPr>
          <w:p>
            <w:pPr>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结合项目需求和实际情况，提供</w:t>
            </w:r>
            <w:r>
              <w:rPr>
                <w:rFonts w:hint="eastAsia" w:ascii="Times New Roman" w:hAnsi="Times New Roman" w:eastAsia="宋体" w:cs="Times New Roman"/>
                <w:sz w:val="24"/>
                <w:szCs w:val="24"/>
              </w:rPr>
              <w:t xml:space="preserve">质量保证措施</w:t>
            </w:r>
            <w:r>
              <w:rPr>
                <w:rFonts w:hint="eastAsia" w:ascii="Times New Roman" w:hAnsi="Times New Roman" w:eastAsia="宋体" w:cs="Times New Roman"/>
                <w:color w:val="auto"/>
                <w:sz w:val="24"/>
                <w:szCs w:val="24"/>
                <w:highlight w:val="none"/>
              </w:rPr>
              <w:t xml:space="preserve">，包括</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1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①</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lang w:val="en-US" w:eastAsia="zh-CN"/>
              </w:rPr>
              <w:t xml:space="preserve">总体质量保障措施</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2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②</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设备设施运维质量保障</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3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③</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客户反馈快速响应机制</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4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④</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全流程巡检质量管控</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5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⑤</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服务质量违约责任</w:t>
            </w:r>
            <w:r>
              <w:rPr>
                <w:rFonts w:hint="eastAsia" w:ascii="宋体" w:hAnsi="宋体" w:eastAsia="宋体" w:cs="宋体"/>
                <w:sz w:val="24"/>
                <w:szCs w:val="24"/>
                <w:highlight w:val="none"/>
                <w:lang w:eastAsia="zh-CN"/>
              </w:rPr>
              <w:t xml:space="preserve">等</w:t>
            </w:r>
            <w:r>
              <w:rPr>
                <w:rFonts w:hint="eastAsia" w:ascii="Times New Roman" w:hAnsi="Times New Roman" w:eastAsia="宋体" w:cs="Times New Roman"/>
                <w:color w:val="auto"/>
                <w:sz w:val="24"/>
                <w:szCs w:val="24"/>
                <w:highlight w:val="none"/>
              </w:rPr>
              <w:t xml:space="preserve">要点。</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评审标准如下：</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 内容完整性与针对性（10分）：方案内容完整、详细，且精准响应采购文件及项目需求的，得10分。</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 内容缺失扣分：每缺失一项上述核心内容，扣2分。</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3. 错误与瑕疵扣分：</w:t>
            </w:r>
            <w:r>
              <w:rPr>
                <w:rFonts w:hint="eastAsia" w:ascii="宋体" w:hAnsi="宋体" w:eastAsia="宋体" w:cs="宋体"/>
                <w:sz w:val="24"/>
                <w:szCs w:val="24"/>
                <w:highlight w:val="none"/>
              </w:rPr>
              <w:t xml:space="preserve">方案每有一处存在错误或瑕疵的扣0.5分</w:t>
            </w:r>
            <w:r>
              <w:rPr>
                <w:rFonts w:hint="eastAsia" w:ascii="宋体" w:hAnsi="宋体" w:eastAsia="宋体" w:cs="宋体"/>
                <w:color w:val="000000" w:themeColor="text1"/>
                <w:sz w:val="24"/>
                <w:highlight w:val="none"/>
              </w:rPr>
              <w:t xml:space="preserve">（</w:t>
            </w:r>
            <w:r>
              <w:rPr>
                <w:rFonts w:hint="eastAsia" w:ascii="宋体" w:hAnsi="宋体" w:eastAsia="宋体" w:cs="宋体"/>
                <w:sz w:val="24"/>
                <w:szCs w:val="24"/>
                <w:highlight w:val="none"/>
              </w:rPr>
              <w:t xml:space="preserve">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color w:val="000000" w:themeColor="text1"/>
                <w:sz w:val="24"/>
                <w:highlight w:val="none"/>
              </w:rPr>
              <w:t xml:space="preserve">）</w:t>
            </w:r>
            <w:r>
              <w:rPr>
                <w:rFonts w:hint="eastAsia" w:ascii="Times New Roman" w:hAnsi="Times New Roman" w:eastAsia="宋体" w:cs="Times New Roman"/>
                <w:color w:val="auto"/>
                <w:sz w:val="24"/>
                <w:szCs w:val="24"/>
                <w:highlight w:val="none"/>
              </w:rPr>
              <w:t xml:space="preserve">，扣0.5分。</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4. 扣分累计直至本项分值扣完为止。</w:t>
            </w:r>
            <w:r/>
          </w:p>
          <w:p>
            <w:pPr>
              <w:rPr>
                <w:rFonts w:hint="eastAsia"/>
              </w:rPr>
            </w:pPr>
            <w:r>
              <w:rPr>
                <w:rFonts w:hint="eastAsia" w:ascii="Times New Roman" w:hAnsi="Times New Roman" w:eastAsia="宋体" w:cs="Times New Roman"/>
                <w:color w:val="auto"/>
                <w:sz w:val="24"/>
                <w:szCs w:val="24"/>
                <w:highlight w:val="none"/>
                <w:lang w:val="en-US" w:eastAsia="zh-CN" w:bidi="ar-SA"/>
              </w:rPr>
              <w:t xml:space="preserve">5. 未提供方案，本项得0分。</w:t>
            </w:r>
            <w:r/>
          </w:p>
        </w:tc>
        <w:tc>
          <w:tcPr>
            <w:tcW w:w="1835" w:type="dxa"/>
            <w:vAlign w:val="center"/>
            <w:textDirection w:val="lrTb"/>
            <w:noWrap w:val="false"/>
          </w:tcPr>
          <w:p>
            <w:pPr>
              <w:ind w:left="-38"/>
              <w:rPr>
                <w:rFonts w:eastAsia="宋体"/>
                <w:color w:val="auto"/>
                <w:sz w:val="24"/>
                <w:szCs w:val="24"/>
                <w:highlight w:val="none"/>
              </w:rPr>
            </w:pPr>
            <w:r>
              <w:rPr>
                <w:rFonts w:eastAsia="宋体"/>
                <w:color w:val="auto"/>
                <w:sz w:val="24"/>
                <w:szCs w:val="24"/>
                <w:highlight w:val="none"/>
              </w:rPr>
            </w:r>
            <w:r/>
          </w:p>
        </w:tc>
      </w:tr>
      <w:tr>
        <w:trPr>
          <w:trHeight w:val="1819"/>
        </w:trPr>
        <w:tc>
          <w:tcPr>
            <w:tcW w:w="835" w:type="dxa"/>
            <w:vAlign w:val="center"/>
            <w:textDirection w:val="lrTb"/>
            <w:noWrap w:val="false"/>
          </w:tcPr>
          <w:p>
            <w:pPr>
              <w:ind w:firstLine="28"/>
              <w:jc w:val="center"/>
              <w:rPr>
                <w:rFonts w:hint="default" w:eastAsia="宋体"/>
                <w:color w:val="auto"/>
                <w:sz w:val="24"/>
                <w:szCs w:val="24"/>
                <w:highlight w:val="none"/>
                <w:lang w:val="en-US" w:eastAsia="zh-CN"/>
              </w:rPr>
            </w:pPr>
            <w:r>
              <w:rPr>
                <w:rFonts w:hint="eastAsia" w:eastAsia="宋体"/>
                <w:color w:val="auto"/>
                <w:sz w:val="24"/>
                <w:szCs w:val="24"/>
                <w:highlight w:val="none"/>
                <w:lang w:val="en-US" w:eastAsia="zh-CN"/>
              </w:rPr>
              <w:t xml:space="preserve">2.4</w:t>
            </w:r>
            <w:r/>
          </w:p>
        </w:tc>
        <w:tc>
          <w:tcPr>
            <w:tcW w:w="1275" w:type="dxa"/>
            <w:vAlign w:val="center"/>
            <w:textDirection w:val="lrTb"/>
            <w:noWrap w:val="false"/>
          </w:tcPr>
          <w:p>
            <w:pPr>
              <w:ind w:firstLine="28"/>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安全文明</w:t>
            </w:r>
            <w:r/>
          </w:p>
          <w:p>
            <w:pPr>
              <w:ind w:firstLine="28"/>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保障方案</w:t>
            </w:r>
            <w:r/>
          </w:p>
        </w:tc>
        <w:tc>
          <w:tcPr>
            <w:tcW w:w="715" w:type="dxa"/>
            <w:vAlign w:val="center"/>
            <w:textDirection w:val="lrTb"/>
            <w:noWrap w:val="false"/>
          </w:tcPr>
          <w:p>
            <w:pPr>
              <w:ind w:firstLine="28"/>
              <w:jc w:val="center"/>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10</w:t>
            </w:r>
            <w:r/>
          </w:p>
        </w:tc>
        <w:tc>
          <w:tcPr>
            <w:tcW w:w="4558" w:type="dxa"/>
            <w:vAlign w:val="center"/>
            <w:textDirection w:val="lrTb"/>
            <w:noWrap w:val="false"/>
          </w:tcPr>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结合项目需求和实际情况，提供安全文明保障方案，包括</w:t>
            </w:r>
            <w:r>
              <w:rPr>
                <w:rFonts w:hint="eastAsia" w:ascii="Times New Roman" w:hAnsi="Times New Roman" w:eastAsia="宋体" w:cs="Times New Roman"/>
                <w:color w:val="auto"/>
                <w:sz w:val="24"/>
                <w:szCs w:val="24"/>
                <w:highlight w:val="none"/>
              </w:rPr>
              <w:fldChar w:fldCharType="begin"/>
            </w:r>
            <w:r>
              <w:rPr>
                <w:rFonts w:hint="eastAsia" w:ascii="Times New Roman" w:hAnsi="Times New Roman" w:eastAsia="宋体" w:cs="Times New Roman"/>
                <w:color w:val="auto"/>
                <w:sz w:val="24"/>
                <w:szCs w:val="24"/>
                <w:highlight w:val="none"/>
              </w:rPr>
              <w:instrText xml:space="preserve"> = 1 \* GB3 </w:instrText>
            </w:r>
            <w:r>
              <w:rPr>
                <w:rFonts w:hint="eastAsia" w:ascii="Times New Roman" w:hAnsi="Times New Roman" w:eastAsia="宋体" w:cs="Times New Roman"/>
                <w:color w:val="auto"/>
                <w:sz w:val="24"/>
                <w:szCs w:val="24"/>
                <w:highlight w:val="none"/>
              </w:rPr>
              <w:fldChar w:fldCharType="separate"/>
            </w:r>
            <w:r>
              <w:rPr>
                <w:rFonts w:hint="eastAsia" w:ascii="Times New Roman" w:hAnsi="Times New Roman" w:eastAsia="宋体" w:cs="Times New Roman"/>
                <w:color w:val="auto"/>
                <w:sz w:val="24"/>
                <w:szCs w:val="24"/>
                <w:highlight w:val="none"/>
              </w:rPr>
              <w:t xml:space="preserve">①</w:t>
            </w:r>
            <w:r>
              <w:rPr>
                <w:rFonts w:hint="eastAsia" w:ascii="Times New Roman" w:hAnsi="Times New Roman" w:eastAsia="宋体" w:cs="Times New Roman"/>
                <w:color w:val="auto"/>
                <w:sz w:val="24"/>
                <w:szCs w:val="24"/>
                <w:highlight w:val="none"/>
              </w:rPr>
              <w:fldChar w:fldCharType="end"/>
            </w:r>
            <w:r>
              <w:rPr>
                <w:rFonts w:hint="eastAsia" w:ascii="Times New Roman" w:hAnsi="Times New Roman" w:eastAsia="宋体" w:cs="Times New Roman"/>
                <w:color w:val="auto"/>
                <w:sz w:val="24"/>
                <w:szCs w:val="24"/>
                <w:highlight w:val="none"/>
              </w:rPr>
              <w:t xml:space="preserve">安全文明保障措施</w:t>
            </w:r>
            <w:r>
              <w:rPr>
                <w:rFonts w:hint="eastAsia" w:ascii="Times New Roman" w:hAnsi="Times New Roman" w:eastAsia="宋体" w:cs="Times New Roman"/>
                <w:color w:val="auto"/>
                <w:sz w:val="24"/>
                <w:szCs w:val="24"/>
                <w:highlight w:val="none"/>
              </w:rPr>
              <w:fldChar w:fldCharType="begin"/>
            </w:r>
            <w:r>
              <w:rPr>
                <w:rFonts w:hint="eastAsia" w:ascii="Times New Roman" w:hAnsi="Times New Roman" w:eastAsia="宋体" w:cs="Times New Roman"/>
                <w:color w:val="auto"/>
                <w:sz w:val="24"/>
                <w:szCs w:val="24"/>
                <w:highlight w:val="none"/>
              </w:rPr>
              <w:instrText xml:space="preserve"> = 2 \* GB3 </w:instrText>
            </w:r>
            <w:r>
              <w:rPr>
                <w:rFonts w:hint="eastAsia" w:ascii="Times New Roman" w:hAnsi="Times New Roman" w:eastAsia="宋体" w:cs="Times New Roman"/>
                <w:color w:val="auto"/>
                <w:sz w:val="24"/>
                <w:szCs w:val="24"/>
                <w:highlight w:val="none"/>
              </w:rPr>
              <w:fldChar w:fldCharType="separate"/>
            </w:r>
            <w:r>
              <w:rPr>
                <w:rFonts w:hint="eastAsia" w:ascii="Times New Roman" w:hAnsi="Times New Roman" w:eastAsia="宋体" w:cs="Times New Roman"/>
                <w:color w:val="auto"/>
                <w:sz w:val="24"/>
                <w:szCs w:val="24"/>
                <w:highlight w:val="none"/>
              </w:rPr>
              <w:t xml:space="preserve">②</w:t>
            </w:r>
            <w:r>
              <w:rPr>
                <w:rFonts w:hint="eastAsia" w:ascii="Times New Roman" w:hAnsi="Times New Roman" w:eastAsia="宋体" w:cs="Times New Roman"/>
                <w:color w:val="auto"/>
                <w:sz w:val="24"/>
                <w:szCs w:val="24"/>
                <w:highlight w:val="none"/>
              </w:rPr>
              <w:fldChar w:fldCharType="end"/>
            </w:r>
            <w:r>
              <w:rPr>
                <w:rFonts w:hint="eastAsia" w:ascii="Times New Roman" w:hAnsi="Times New Roman" w:eastAsia="宋体" w:cs="Times New Roman"/>
                <w:color w:val="auto"/>
                <w:sz w:val="24"/>
                <w:szCs w:val="24"/>
                <w:highlight w:val="none"/>
              </w:rPr>
              <w:t xml:space="preserve">作业安全管理措施</w:t>
            </w:r>
            <w:r>
              <w:rPr>
                <w:rFonts w:hint="eastAsia" w:ascii="Times New Roman" w:hAnsi="Times New Roman" w:eastAsia="宋体" w:cs="Times New Roman"/>
                <w:color w:val="auto"/>
                <w:sz w:val="24"/>
                <w:szCs w:val="24"/>
                <w:highlight w:val="none"/>
              </w:rPr>
              <w:fldChar w:fldCharType="begin"/>
            </w:r>
            <w:r>
              <w:rPr>
                <w:rFonts w:hint="eastAsia" w:ascii="Times New Roman" w:hAnsi="Times New Roman" w:eastAsia="宋体" w:cs="Times New Roman"/>
                <w:color w:val="auto"/>
                <w:sz w:val="24"/>
                <w:szCs w:val="24"/>
                <w:highlight w:val="none"/>
              </w:rPr>
              <w:instrText xml:space="preserve"> = 3 \* GB3 </w:instrText>
            </w:r>
            <w:r>
              <w:rPr>
                <w:rFonts w:hint="eastAsia" w:ascii="Times New Roman" w:hAnsi="Times New Roman" w:eastAsia="宋体" w:cs="Times New Roman"/>
                <w:color w:val="auto"/>
                <w:sz w:val="24"/>
                <w:szCs w:val="24"/>
                <w:highlight w:val="none"/>
              </w:rPr>
              <w:fldChar w:fldCharType="separate"/>
            </w:r>
            <w:r>
              <w:rPr>
                <w:rFonts w:hint="eastAsia" w:ascii="Times New Roman" w:hAnsi="Times New Roman" w:eastAsia="宋体" w:cs="Times New Roman"/>
                <w:color w:val="auto"/>
                <w:sz w:val="24"/>
                <w:szCs w:val="24"/>
                <w:highlight w:val="none"/>
              </w:rPr>
              <w:t xml:space="preserve">③</w:t>
            </w:r>
            <w:r>
              <w:rPr>
                <w:rFonts w:hint="eastAsia" w:ascii="Times New Roman" w:hAnsi="Times New Roman" w:eastAsia="宋体" w:cs="Times New Roman"/>
                <w:color w:val="auto"/>
                <w:sz w:val="24"/>
                <w:szCs w:val="24"/>
                <w:highlight w:val="none"/>
              </w:rPr>
              <w:fldChar w:fldCharType="end"/>
            </w:r>
            <w:r>
              <w:rPr>
                <w:rFonts w:hint="eastAsia" w:ascii="Times New Roman" w:hAnsi="Times New Roman" w:eastAsia="宋体" w:cs="Times New Roman"/>
                <w:color w:val="auto"/>
                <w:sz w:val="24"/>
                <w:szCs w:val="24"/>
                <w:highlight w:val="none"/>
                <w:lang w:val="en-US" w:eastAsia="zh-CN"/>
              </w:rPr>
              <w:t xml:space="preserve">安全设施配备</w:t>
            </w:r>
            <w:r>
              <w:rPr>
                <w:rFonts w:hint="eastAsia" w:ascii="Times New Roman" w:hAnsi="Times New Roman" w:eastAsia="宋体" w:cs="Times New Roman"/>
                <w:color w:val="auto"/>
                <w:sz w:val="24"/>
                <w:szCs w:val="24"/>
                <w:highlight w:val="none"/>
              </w:rPr>
              <w:fldChar w:fldCharType="begin"/>
            </w:r>
            <w:r>
              <w:rPr>
                <w:rFonts w:hint="eastAsia" w:ascii="Times New Roman" w:hAnsi="Times New Roman" w:eastAsia="宋体" w:cs="Times New Roman"/>
                <w:color w:val="auto"/>
                <w:sz w:val="24"/>
                <w:szCs w:val="24"/>
                <w:highlight w:val="none"/>
              </w:rPr>
              <w:instrText xml:space="preserve"> = 4 \* GB3 </w:instrText>
            </w:r>
            <w:r>
              <w:rPr>
                <w:rFonts w:hint="eastAsia" w:ascii="Times New Roman" w:hAnsi="Times New Roman" w:eastAsia="宋体" w:cs="Times New Roman"/>
                <w:color w:val="auto"/>
                <w:sz w:val="24"/>
                <w:szCs w:val="24"/>
                <w:highlight w:val="none"/>
              </w:rPr>
              <w:fldChar w:fldCharType="separate"/>
            </w:r>
            <w:r>
              <w:rPr>
                <w:rFonts w:hint="eastAsia" w:ascii="Times New Roman" w:hAnsi="Times New Roman" w:eastAsia="宋体" w:cs="Times New Roman"/>
                <w:color w:val="auto"/>
                <w:sz w:val="24"/>
                <w:szCs w:val="24"/>
                <w:highlight w:val="none"/>
              </w:rPr>
              <w:t xml:space="preserve">④</w:t>
            </w:r>
            <w:r>
              <w:rPr>
                <w:rFonts w:hint="eastAsia" w:ascii="Times New Roman" w:hAnsi="Times New Roman" w:eastAsia="宋体" w:cs="Times New Roman"/>
                <w:color w:val="auto"/>
                <w:sz w:val="24"/>
                <w:szCs w:val="24"/>
                <w:highlight w:val="none"/>
              </w:rPr>
              <w:fldChar w:fldCharType="end"/>
            </w:r>
            <w:r>
              <w:rPr>
                <w:rFonts w:hint="eastAsia" w:ascii="Times New Roman" w:hAnsi="Times New Roman" w:eastAsia="宋体" w:cs="Times New Roman"/>
                <w:color w:val="auto"/>
                <w:sz w:val="24"/>
                <w:szCs w:val="24"/>
                <w:highlight w:val="none"/>
              </w:rPr>
              <w:t xml:space="preserve">安全检查记录</w:t>
            </w:r>
            <w:r>
              <w:rPr>
                <w:rFonts w:hint="eastAsia" w:ascii="Times New Roman" w:hAnsi="Times New Roman" w:eastAsia="宋体" w:cs="Times New Roman"/>
                <w:color w:val="auto"/>
                <w:sz w:val="24"/>
                <w:szCs w:val="24"/>
                <w:highlight w:val="none"/>
              </w:rPr>
              <w:fldChar w:fldCharType="begin"/>
            </w:r>
            <w:r>
              <w:rPr>
                <w:rFonts w:hint="eastAsia" w:ascii="Times New Roman" w:hAnsi="Times New Roman" w:eastAsia="宋体" w:cs="Times New Roman"/>
                <w:color w:val="auto"/>
                <w:sz w:val="24"/>
                <w:szCs w:val="24"/>
                <w:highlight w:val="none"/>
              </w:rPr>
              <w:instrText xml:space="preserve"> = 5 \* GB3 </w:instrText>
            </w:r>
            <w:r>
              <w:rPr>
                <w:rFonts w:hint="eastAsia" w:ascii="Times New Roman" w:hAnsi="Times New Roman" w:eastAsia="宋体" w:cs="Times New Roman"/>
                <w:color w:val="auto"/>
                <w:sz w:val="24"/>
                <w:szCs w:val="24"/>
                <w:highlight w:val="none"/>
              </w:rPr>
              <w:fldChar w:fldCharType="separate"/>
            </w:r>
            <w:r>
              <w:rPr>
                <w:rFonts w:hint="eastAsia" w:ascii="Times New Roman" w:hAnsi="Times New Roman" w:eastAsia="宋体" w:cs="Times New Roman"/>
                <w:color w:val="auto"/>
                <w:sz w:val="24"/>
                <w:szCs w:val="24"/>
                <w:highlight w:val="none"/>
              </w:rPr>
              <w:t xml:space="preserve">⑤</w:t>
            </w:r>
            <w:r>
              <w:rPr>
                <w:rFonts w:hint="eastAsia" w:ascii="Times New Roman" w:hAnsi="Times New Roman" w:eastAsia="宋体" w:cs="Times New Roman"/>
                <w:color w:val="auto"/>
                <w:sz w:val="24"/>
                <w:szCs w:val="24"/>
                <w:highlight w:val="none"/>
              </w:rPr>
              <w:fldChar w:fldCharType="end"/>
            </w:r>
            <w:r>
              <w:rPr>
                <w:rFonts w:hint="eastAsia" w:ascii="Times New Roman" w:hAnsi="Times New Roman" w:eastAsia="宋体" w:cs="Times New Roman"/>
                <w:color w:val="auto"/>
                <w:sz w:val="24"/>
                <w:szCs w:val="24"/>
                <w:highlight w:val="none"/>
              </w:rPr>
              <w:t xml:space="preserve">安全教育培训计划</w:t>
            </w:r>
            <w:r>
              <w:rPr>
                <w:rFonts w:hint="eastAsia" w:ascii="Times New Roman" w:hAnsi="Times New Roman" w:eastAsia="宋体" w:cs="Times New Roman"/>
                <w:color w:val="auto"/>
                <w:sz w:val="24"/>
                <w:szCs w:val="24"/>
                <w:highlight w:val="none"/>
                <w:lang w:eastAsia="zh-CN"/>
              </w:rPr>
              <w:t xml:space="preserve">等</w:t>
            </w:r>
            <w:r>
              <w:rPr>
                <w:rFonts w:hint="eastAsia" w:ascii="Times New Roman" w:hAnsi="Times New Roman" w:eastAsia="宋体" w:cs="Times New Roman"/>
                <w:color w:val="auto"/>
                <w:sz w:val="24"/>
                <w:szCs w:val="24"/>
                <w:highlight w:val="none"/>
              </w:rPr>
              <w:t xml:space="preserve">要点。</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评审标准如下：</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 内容完整性与针对性（10分）：方案内容完整、详细，且精准响应采购文件及项目需求的，得10分。</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 内容缺失扣分：每缺失一项上述核心内容，扣2分。</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3. 错误与瑕疵扣分：</w:t>
            </w:r>
            <w:r>
              <w:rPr>
                <w:rFonts w:hint="eastAsia" w:ascii="宋体" w:hAnsi="宋体" w:eastAsia="宋体" w:cs="宋体"/>
                <w:sz w:val="24"/>
                <w:szCs w:val="24"/>
                <w:highlight w:val="none"/>
              </w:rPr>
              <w:t xml:space="preserve">方案每有一处存在错误或瑕疵的扣0.5分</w:t>
            </w:r>
            <w:r>
              <w:rPr>
                <w:rFonts w:hint="eastAsia" w:ascii="宋体" w:hAnsi="宋体" w:eastAsia="宋体" w:cs="宋体"/>
                <w:color w:val="000000" w:themeColor="text1"/>
                <w:sz w:val="24"/>
                <w:highlight w:val="none"/>
              </w:rPr>
              <w:t xml:space="preserve">（</w:t>
            </w:r>
            <w:r>
              <w:rPr>
                <w:rFonts w:hint="eastAsia" w:ascii="宋体" w:hAnsi="宋体" w:eastAsia="宋体" w:cs="宋体"/>
                <w:sz w:val="24"/>
                <w:szCs w:val="24"/>
                <w:highlight w:val="none"/>
              </w:rPr>
              <w:t xml:space="preserve">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color w:val="000000" w:themeColor="text1"/>
                <w:sz w:val="24"/>
                <w:highlight w:val="none"/>
              </w:rPr>
              <w:t xml:space="preserve">）</w:t>
            </w:r>
            <w:r>
              <w:rPr>
                <w:rFonts w:hint="eastAsia" w:ascii="Times New Roman" w:hAnsi="Times New Roman" w:eastAsia="宋体" w:cs="Times New Roman"/>
                <w:color w:val="auto"/>
                <w:sz w:val="24"/>
                <w:szCs w:val="24"/>
                <w:highlight w:val="none"/>
              </w:rPr>
              <w:t xml:space="preserve">，扣0.5分。</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4. 扣分累计直至本项分值扣完为止。</w:t>
            </w:r>
            <w:r/>
          </w:p>
          <w:p>
            <w:pPr>
              <w:ind w:firstLine="28"/>
              <w:jc w:val="both"/>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val="en-US" w:eastAsia="zh-CN" w:bidi="ar-SA"/>
              </w:rPr>
              <w:t xml:space="preserve">5. 未提供方案，本项得0分。</w:t>
            </w:r>
            <w:r/>
          </w:p>
        </w:tc>
        <w:tc>
          <w:tcPr>
            <w:tcW w:w="1835" w:type="dxa"/>
            <w:vAlign w:val="center"/>
            <w:textDirection w:val="lrTb"/>
            <w:noWrap w:val="false"/>
          </w:tcPr>
          <w:p>
            <w:pPr>
              <w:ind w:left="-38"/>
              <w:rPr>
                <w:rFonts w:eastAsia="宋体"/>
                <w:color w:val="auto"/>
                <w:sz w:val="24"/>
                <w:szCs w:val="24"/>
                <w:highlight w:val="none"/>
              </w:rPr>
            </w:pPr>
            <w:r>
              <w:rPr>
                <w:rFonts w:eastAsia="宋体"/>
                <w:color w:val="auto"/>
                <w:sz w:val="24"/>
                <w:szCs w:val="24"/>
                <w:highlight w:val="none"/>
              </w:rPr>
            </w:r>
            <w:r/>
          </w:p>
        </w:tc>
      </w:tr>
      <w:tr>
        <w:trPr/>
        <w:tc>
          <w:tcPr>
            <w:tcW w:w="835" w:type="dxa"/>
            <w:vAlign w:val="center"/>
            <w:textDirection w:val="lrTb"/>
            <w:noWrap w:val="false"/>
          </w:tcPr>
          <w:p>
            <w:pPr>
              <w:ind w:firstLine="28"/>
              <w:jc w:val="center"/>
              <w:rPr>
                <w:rFonts w:hint="default" w:eastAsia="宋体"/>
                <w:color w:val="auto"/>
                <w:sz w:val="24"/>
                <w:szCs w:val="24"/>
                <w:highlight w:val="none"/>
                <w:lang w:val="en-US" w:eastAsia="zh-CN"/>
              </w:rPr>
            </w:pPr>
            <w:r>
              <w:rPr>
                <w:rFonts w:hint="eastAsia" w:eastAsia="宋体"/>
                <w:color w:val="auto"/>
                <w:sz w:val="24"/>
                <w:szCs w:val="24"/>
                <w:highlight w:val="none"/>
                <w:lang w:val="en-US" w:eastAsia="zh-CN"/>
              </w:rPr>
              <w:t xml:space="preserve">2.5</w:t>
            </w:r>
            <w:r/>
          </w:p>
        </w:tc>
        <w:tc>
          <w:tcPr>
            <w:tcW w:w="1275" w:type="dxa"/>
            <w:vAlign w:val="center"/>
            <w:textDirection w:val="lrTb"/>
            <w:noWrap w:val="false"/>
          </w:tcPr>
          <w:p>
            <w:pPr>
              <w:ind w:firstLine="28"/>
              <w:jc w:val="center"/>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000000"/>
                <w:sz w:val="24"/>
                <w:szCs w:val="24"/>
                <w:highlight w:val="none"/>
              </w:rPr>
              <w:t xml:space="preserve">应急事件处置方案</w:t>
            </w:r>
            <w:r/>
          </w:p>
        </w:tc>
        <w:tc>
          <w:tcPr>
            <w:tcW w:w="715" w:type="dxa"/>
            <w:vAlign w:val="center"/>
            <w:textDirection w:val="lrTb"/>
            <w:noWrap w:val="false"/>
          </w:tcPr>
          <w:p>
            <w:pPr>
              <w:ind w:firstLine="28"/>
              <w:jc w:val="center"/>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10</w:t>
            </w:r>
            <w:r/>
          </w:p>
        </w:tc>
        <w:tc>
          <w:tcPr>
            <w:tcW w:w="4558" w:type="dxa"/>
            <w:vAlign w:val="center"/>
            <w:textDirection w:val="lrTb"/>
            <w:noWrap w:val="false"/>
          </w:tcPr>
          <w:p>
            <w:pPr>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结合项目需求和实际情况，提供</w:t>
            </w:r>
            <w:r>
              <w:rPr>
                <w:rFonts w:hint="eastAsia" w:ascii="Times New Roman" w:hAnsi="Times New Roman" w:eastAsia="宋体" w:cs="Times New Roman"/>
                <w:color w:val="000000"/>
                <w:sz w:val="24"/>
                <w:szCs w:val="24"/>
                <w:highlight w:val="none"/>
              </w:rPr>
              <w:t xml:space="preserve">应急事件处置方案</w:t>
            </w:r>
            <w:r>
              <w:rPr>
                <w:rFonts w:hint="eastAsia" w:ascii="Times New Roman" w:hAnsi="Times New Roman" w:eastAsia="宋体" w:cs="Times New Roman"/>
                <w:color w:val="auto"/>
                <w:sz w:val="24"/>
                <w:szCs w:val="24"/>
                <w:highlight w:val="none"/>
              </w:rPr>
              <w:t xml:space="preserve">，包括</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1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①</w:t>
            </w:r>
            <w:r>
              <w:rPr>
                <w:rFonts w:hint="eastAsia" w:ascii="宋体" w:hAnsi="宋体" w:eastAsia="宋体" w:cs="宋体"/>
                <w:sz w:val="24"/>
                <w:szCs w:val="24"/>
                <w:highlight w:val="none"/>
              </w:rPr>
              <w:fldChar w:fldCharType="end"/>
            </w:r>
            <w:r>
              <w:rPr>
                <w:rFonts w:hint="eastAsia" w:ascii="宋体" w:hAnsi="宋体" w:eastAsia="宋体" w:cs="宋体"/>
                <w:b w:val="0"/>
                <w:bCs w:val="0"/>
                <w:color w:val="000000"/>
                <w:sz w:val="24"/>
                <w:szCs w:val="24"/>
                <w:highlight w:val="none"/>
              </w:rPr>
              <w:t xml:space="preserve">节假日期间工作预案等</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2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②</w:t>
            </w:r>
            <w:r>
              <w:rPr>
                <w:rFonts w:hint="eastAsia" w:ascii="宋体" w:hAnsi="宋体" w:eastAsia="宋体" w:cs="宋体"/>
                <w:sz w:val="24"/>
                <w:szCs w:val="24"/>
                <w:highlight w:val="none"/>
              </w:rPr>
              <w:fldChar w:fldCharType="end"/>
            </w:r>
            <w:r>
              <w:rPr>
                <w:rFonts w:hint="eastAsia" w:ascii="宋体" w:hAnsi="宋体" w:eastAsia="宋体" w:cs="宋体"/>
                <w:b w:val="0"/>
                <w:bCs w:val="0"/>
                <w:color w:val="000000"/>
                <w:sz w:val="24"/>
                <w:szCs w:val="24"/>
                <w:highlight w:val="none"/>
              </w:rPr>
              <w:t xml:space="preserve">迎接重大活动和检查评比的保障措施</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3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③</w:t>
            </w:r>
            <w:r>
              <w:rPr>
                <w:rFonts w:hint="eastAsia" w:ascii="宋体" w:hAnsi="宋体" w:eastAsia="宋体" w:cs="宋体"/>
                <w:sz w:val="24"/>
                <w:szCs w:val="24"/>
                <w:highlight w:val="none"/>
              </w:rPr>
              <w:fldChar w:fldCharType="end"/>
            </w:r>
            <w:r>
              <w:rPr>
                <w:rFonts w:hint="eastAsia" w:ascii="宋体" w:hAnsi="宋体" w:eastAsia="宋体" w:cs="宋体"/>
                <w:b w:val="0"/>
                <w:bCs w:val="0"/>
                <w:color w:val="000000"/>
                <w:sz w:val="24"/>
                <w:szCs w:val="24"/>
                <w:highlight w:val="none"/>
              </w:rPr>
              <w:t xml:space="preserve">恶劣天气应急预案</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4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④</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应急物资与备用资源保障</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5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⑤</w:t>
            </w:r>
            <w:r>
              <w:rPr>
                <w:rFonts w:hint="eastAsia" w:ascii="宋体" w:hAnsi="宋体" w:eastAsia="宋体" w:cs="宋体"/>
                <w:sz w:val="24"/>
                <w:szCs w:val="24"/>
                <w:highlight w:val="none"/>
              </w:rPr>
              <w:fldChar w:fldCharType="end"/>
            </w:r>
            <w:r>
              <w:rPr>
                <w:rFonts w:hint="eastAsia" w:ascii="宋体" w:hAnsi="宋体" w:eastAsia="宋体" w:cs="宋体"/>
                <w:b w:val="0"/>
                <w:bCs w:val="0"/>
                <w:color w:val="000000"/>
                <w:sz w:val="24"/>
                <w:szCs w:val="24"/>
                <w:highlight w:val="none"/>
              </w:rPr>
              <w:t xml:space="preserve">安全事故处理措预案</w:t>
            </w:r>
            <w:r>
              <w:rPr>
                <w:rFonts w:hint="eastAsia" w:ascii="宋体" w:hAnsi="宋体" w:eastAsia="宋体" w:cs="宋体"/>
                <w:sz w:val="24"/>
                <w:szCs w:val="24"/>
                <w:highlight w:val="none"/>
                <w:lang w:eastAsia="zh-CN"/>
              </w:rPr>
              <w:t xml:space="preserve">等</w:t>
            </w:r>
            <w:r>
              <w:rPr>
                <w:rFonts w:hint="eastAsia" w:ascii="Times New Roman" w:hAnsi="Times New Roman" w:eastAsia="宋体" w:cs="Times New Roman"/>
                <w:color w:val="auto"/>
                <w:sz w:val="24"/>
                <w:szCs w:val="24"/>
                <w:highlight w:val="none"/>
              </w:rPr>
              <w:t xml:space="preserve">要点。</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评审标准如下：</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 内容完整性与针对性（10分）：方案内容完整、详细，且精准响应采购文件及项目需求的，得10分。</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 内容缺失扣分：每缺失一项上述核心内容，扣2分。</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3. 错误与瑕疵扣分：</w:t>
            </w:r>
            <w:r>
              <w:rPr>
                <w:rFonts w:hint="eastAsia" w:ascii="宋体" w:hAnsi="宋体" w:eastAsia="宋体" w:cs="宋体"/>
                <w:sz w:val="24"/>
                <w:szCs w:val="24"/>
                <w:highlight w:val="none"/>
              </w:rPr>
              <w:t xml:space="preserve">方案每有一处存在错误或瑕疵的扣0.5分</w:t>
            </w:r>
            <w:r>
              <w:rPr>
                <w:rFonts w:hint="eastAsia" w:ascii="宋体" w:hAnsi="宋体" w:eastAsia="宋体" w:cs="宋体"/>
                <w:color w:val="000000" w:themeColor="text1"/>
                <w:sz w:val="24"/>
                <w:highlight w:val="none"/>
              </w:rPr>
              <w:t xml:space="preserve">（</w:t>
            </w:r>
            <w:r>
              <w:rPr>
                <w:rFonts w:hint="eastAsia" w:ascii="宋体" w:hAnsi="宋体" w:eastAsia="宋体" w:cs="宋体"/>
                <w:sz w:val="24"/>
                <w:szCs w:val="24"/>
                <w:highlight w:val="none"/>
              </w:rPr>
              <w:t xml:space="preserve">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color w:val="000000" w:themeColor="text1"/>
                <w:sz w:val="24"/>
                <w:highlight w:val="none"/>
              </w:rPr>
              <w:t xml:space="preserve">）</w:t>
            </w:r>
            <w:r>
              <w:rPr>
                <w:rFonts w:hint="eastAsia" w:ascii="Times New Roman" w:hAnsi="Times New Roman" w:eastAsia="宋体" w:cs="Times New Roman"/>
                <w:color w:val="auto"/>
                <w:sz w:val="24"/>
                <w:szCs w:val="24"/>
                <w:highlight w:val="none"/>
              </w:rPr>
              <w:t xml:space="preserve">，扣0.5分。</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4. 扣分累计直至本项分值扣完为止。</w:t>
            </w:r>
            <w:r/>
          </w:p>
          <w:p>
            <w:pPr>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bidi="ar-SA"/>
              </w:rPr>
              <w:t xml:space="preserve">5. 未提供方案，本项得0分。</w:t>
            </w:r>
            <w:r/>
          </w:p>
        </w:tc>
        <w:tc>
          <w:tcPr>
            <w:tcW w:w="1835" w:type="dxa"/>
            <w:vAlign w:val="center"/>
            <w:textDirection w:val="lrTb"/>
            <w:noWrap w:val="false"/>
          </w:tcPr>
          <w:p>
            <w:pPr>
              <w:ind w:left="-38"/>
              <w:rPr>
                <w:rFonts w:eastAsia="宋体"/>
                <w:color w:val="auto"/>
                <w:sz w:val="24"/>
                <w:szCs w:val="24"/>
                <w:highlight w:val="none"/>
              </w:rPr>
            </w:pPr>
            <w:r>
              <w:rPr>
                <w:rFonts w:eastAsia="宋体"/>
                <w:color w:val="auto"/>
                <w:sz w:val="24"/>
                <w:szCs w:val="24"/>
                <w:highlight w:val="none"/>
              </w:rPr>
            </w:r>
            <w:r/>
          </w:p>
        </w:tc>
      </w:tr>
      <w:tr>
        <w:trPr/>
        <w:tc>
          <w:tcPr>
            <w:tcW w:w="835" w:type="dxa"/>
            <w:vAlign w:val="center"/>
            <w:textDirection w:val="lrTb"/>
            <w:noWrap w:val="false"/>
          </w:tcPr>
          <w:p>
            <w:pPr>
              <w:ind w:firstLine="28"/>
              <w:jc w:val="center"/>
              <w:rPr>
                <w:rFonts w:hint="default" w:eastAsia="宋体"/>
                <w:color w:val="auto"/>
                <w:sz w:val="24"/>
                <w:szCs w:val="24"/>
                <w:highlight w:val="none"/>
                <w:lang w:val="en-US" w:eastAsia="zh-CN"/>
              </w:rPr>
            </w:pPr>
            <w:r>
              <w:rPr>
                <w:rFonts w:hint="eastAsia" w:eastAsia="宋体"/>
                <w:color w:val="auto"/>
                <w:sz w:val="24"/>
                <w:szCs w:val="24"/>
                <w:highlight w:val="none"/>
                <w:lang w:val="en-US" w:eastAsia="zh-CN"/>
              </w:rPr>
              <w:t xml:space="preserve">2.6</w:t>
            </w:r>
            <w:r/>
          </w:p>
        </w:tc>
        <w:tc>
          <w:tcPr>
            <w:tcW w:w="1275" w:type="dxa"/>
            <w:vAlign w:val="center"/>
            <w:textDirection w:val="lrTb"/>
            <w:noWrap w:val="false"/>
          </w:tcPr>
          <w:p>
            <w:pPr>
              <w:ind w:firstLine="28"/>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管理机构和管理制度</w:t>
            </w:r>
            <w:r/>
          </w:p>
        </w:tc>
        <w:tc>
          <w:tcPr>
            <w:tcW w:w="715" w:type="dxa"/>
            <w:vAlign w:val="center"/>
            <w:textDirection w:val="lrTb"/>
            <w:noWrap w:val="false"/>
          </w:tcPr>
          <w:p>
            <w:pPr>
              <w:ind w:firstLine="28"/>
              <w:jc w:val="center"/>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10</w:t>
            </w:r>
            <w:r/>
          </w:p>
        </w:tc>
        <w:tc>
          <w:tcPr>
            <w:tcW w:w="4558" w:type="dxa"/>
            <w:vAlign w:val="center"/>
            <w:textDirection w:val="lrTb"/>
            <w:noWrap w:val="false"/>
          </w:tcPr>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结合项目需求和实际情况，提供管理机构和管理制度，包括</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1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①</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lang w:val="en-US" w:eastAsia="zh-CN"/>
              </w:rPr>
              <w:t xml:space="preserve"> </w:t>
            </w:r>
            <w:r>
              <w:rPr>
                <w:rFonts w:hint="eastAsia" w:ascii="Times New Roman" w:hAnsi="Times New Roman" w:eastAsia="宋体" w:cs="Times New Roman"/>
                <w:color w:val="auto"/>
                <w:sz w:val="24"/>
                <w:szCs w:val="24"/>
                <w:highlight w:val="none"/>
              </w:rPr>
              <w:t xml:space="preserve">请销假制度</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2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②</w:t>
            </w:r>
            <w:r>
              <w:rPr>
                <w:rFonts w:hint="eastAsia" w:ascii="宋体" w:hAnsi="宋体" w:eastAsia="宋体" w:cs="宋体"/>
                <w:sz w:val="24"/>
                <w:szCs w:val="24"/>
                <w:highlight w:val="none"/>
              </w:rPr>
              <w:fldChar w:fldCharType="end"/>
            </w:r>
            <w:r>
              <w:rPr>
                <w:rFonts w:hint="eastAsia" w:ascii="Times New Roman" w:hAnsi="Times New Roman" w:eastAsia="宋体" w:cs="Times New Roman"/>
                <w:color w:val="auto"/>
                <w:sz w:val="24"/>
                <w:szCs w:val="24"/>
                <w:highlight w:val="none"/>
              </w:rPr>
              <w:t xml:space="preserve">着装管理制度</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3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③</w:t>
            </w:r>
            <w:r>
              <w:rPr>
                <w:rFonts w:hint="eastAsia" w:ascii="宋体" w:hAnsi="宋体" w:eastAsia="宋体" w:cs="宋体"/>
                <w:sz w:val="24"/>
                <w:szCs w:val="24"/>
                <w:highlight w:val="none"/>
              </w:rPr>
              <w:fldChar w:fldCharType="end"/>
            </w:r>
            <w:r>
              <w:rPr>
                <w:rFonts w:hint="eastAsia" w:ascii="Times New Roman" w:hAnsi="Times New Roman" w:eastAsia="宋体" w:cs="Times New Roman"/>
                <w:color w:val="auto"/>
                <w:sz w:val="24"/>
                <w:szCs w:val="24"/>
                <w:highlight w:val="none"/>
              </w:rPr>
              <w:t xml:space="preserve">上下班考勤制度</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4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④</w:t>
            </w:r>
            <w:r>
              <w:rPr>
                <w:rFonts w:hint="eastAsia" w:ascii="宋体" w:hAnsi="宋体" w:eastAsia="宋体" w:cs="宋体"/>
                <w:sz w:val="24"/>
                <w:szCs w:val="24"/>
                <w:highlight w:val="none"/>
              </w:rPr>
              <w:fldChar w:fldCharType="end"/>
            </w:r>
            <w:r>
              <w:rPr>
                <w:rFonts w:hint="eastAsia" w:ascii="Times New Roman" w:hAnsi="Times New Roman" w:eastAsia="宋体" w:cs="Times New Roman"/>
                <w:color w:val="auto"/>
                <w:sz w:val="24"/>
                <w:szCs w:val="24"/>
                <w:highlight w:val="none"/>
              </w:rPr>
              <w:t xml:space="preserve">人员奖罚制度</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5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⑤</w:t>
            </w:r>
            <w:r>
              <w:rPr>
                <w:rFonts w:hint="eastAsia" w:ascii="宋体" w:hAnsi="宋体" w:eastAsia="宋体" w:cs="宋体"/>
                <w:sz w:val="24"/>
                <w:szCs w:val="24"/>
                <w:highlight w:val="none"/>
              </w:rPr>
              <w:fldChar w:fldCharType="end"/>
            </w:r>
            <w:r>
              <w:rPr>
                <w:rFonts w:hint="eastAsia" w:ascii="Times New Roman" w:hAnsi="Times New Roman" w:eastAsia="宋体" w:cs="Times New Roman"/>
                <w:color w:val="auto"/>
                <w:sz w:val="24"/>
                <w:szCs w:val="24"/>
                <w:highlight w:val="none"/>
              </w:rPr>
              <w:t xml:space="preserve">人员录用及培训制度等要点。</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评审标准如下：</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 内容完整性与针对性（10分）：方案内容完整、详细，且精准响应采购文件及项目需求的，得10分。</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 内容缺失扣分：每缺失一项上述核心内容，扣2分。</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3. 错误与瑕疵扣分：</w:t>
            </w:r>
            <w:r>
              <w:rPr>
                <w:rFonts w:hint="eastAsia" w:ascii="宋体" w:hAnsi="宋体" w:eastAsia="宋体" w:cs="宋体"/>
                <w:sz w:val="24"/>
                <w:szCs w:val="24"/>
                <w:highlight w:val="none"/>
              </w:rPr>
              <w:t xml:space="preserve">方案每有一处存在错误或瑕疵的扣0.5分</w:t>
            </w:r>
            <w:r>
              <w:rPr>
                <w:rFonts w:hint="eastAsia" w:ascii="宋体" w:hAnsi="宋体" w:cs="宋体"/>
                <w:color w:val="000000" w:themeColor="text1"/>
                <w:sz w:val="24"/>
                <w:highlight w:val="none"/>
              </w:rPr>
              <w:t xml:space="preserve">（</w:t>
            </w:r>
            <w:r>
              <w:rPr>
                <w:rFonts w:hint="eastAsia" w:ascii="宋体" w:hAnsi="宋体" w:eastAsia="宋体" w:cs="宋体"/>
                <w:sz w:val="24"/>
                <w:szCs w:val="24"/>
                <w:highlight w:val="none"/>
              </w:rPr>
              <w:t xml:space="preserve">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cs="宋体"/>
                <w:color w:val="000000" w:themeColor="text1"/>
                <w:sz w:val="24"/>
                <w:highlight w:val="none"/>
              </w:rPr>
              <w:t xml:space="preserve">）</w:t>
            </w:r>
            <w:r>
              <w:rPr>
                <w:rFonts w:hint="eastAsia" w:ascii="Times New Roman" w:hAnsi="Times New Roman" w:eastAsia="宋体" w:cs="Times New Roman"/>
                <w:color w:val="auto"/>
                <w:sz w:val="24"/>
                <w:szCs w:val="24"/>
                <w:highlight w:val="none"/>
              </w:rPr>
              <w:t xml:space="preserve">，扣0.5分。</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4. 扣分累计直至本项分值扣完为止。</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5. 未提供方案，本项得0分。</w:t>
            </w:r>
            <w:r/>
          </w:p>
        </w:tc>
        <w:tc>
          <w:tcPr>
            <w:tcW w:w="1835" w:type="dxa"/>
            <w:vAlign w:val="center"/>
            <w:textDirection w:val="lrTb"/>
            <w:noWrap w:val="false"/>
          </w:tcPr>
          <w:p>
            <w:pPr>
              <w:ind w:left="-38"/>
              <w:rPr>
                <w:rFonts w:eastAsia="宋体"/>
                <w:color w:val="auto"/>
                <w:sz w:val="24"/>
                <w:szCs w:val="24"/>
                <w:highlight w:val="none"/>
              </w:rPr>
            </w:pPr>
            <w:r>
              <w:rPr>
                <w:rFonts w:eastAsia="宋体"/>
                <w:color w:val="auto"/>
                <w:sz w:val="24"/>
                <w:szCs w:val="24"/>
                <w:highlight w:val="none"/>
              </w:rPr>
            </w:r>
            <w:r/>
          </w:p>
        </w:tc>
      </w:tr>
      <w:tr>
        <w:trPr/>
        <w:tc>
          <w:tcPr>
            <w:tcW w:w="835" w:type="dxa"/>
            <w:vAlign w:val="center"/>
            <w:textDirection w:val="lrTb"/>
            <w:noWrap w:val="false"/>
          </w:tcPr>
          <w:p>
            <w:pPr>
              <w:ind w:firstLine="28"/>
              <w:jc w:val="center"/>
              <w:rPr>
                <w:rFonts w:eastAsia="宋体"/>
                <w:color w:val="auto"/>
                <w:sz w:val="24"/>
                <w:szCs w:val="24"/>
                <w:highlight w:val="none"/>
              </w:rPr>
            </w:pPr>
            <w:r>
              <w:rPr>
                <w:rFonts w:hint="eastAsia" w:eastAsia="宋体"/>
                <w:color w:val="auto"/>
                <w:sz w:val="24"/>
                <w:szCs w:val="24"/>
                <w:highlight w:val="none"/>
              </w:rPr>
              <w:t xml:space="preserve">3</w:t>
            </w:r>
            <w:r/>
          </w:p>
        </w:tc>
        <w:tc>
          <w:tcPr>
            <w:tcW w:w="1275" w:type="dxa"/>
            <w:vAlign w:val="center"/>
            <w:textDirection w:val="lrTb"/>
            <w:noWrap w:val="false"/>
          </w:tcPr>
          <w:p>
            <w:pPr>
              <w:ind w:firstLine="28"/>
              <w:jc w:val="center"/>
              <w:rPr>
                <w:rFonts w:eastAsia="宋体"/>
                <w:color w:val="auto"/>
                <w:sz w:val="24"/>
                <w:szCs w:val="24"/>
                <w:highlight w:val="none"/>
              </w:rPr>
            </w:pPr>
            <w:r>
              <w:rPr>
                <w:rFonts w:hint="eastAsia" w:eastAsia="宋体"/>
                <w:color w:val="auto"/>
                <w:sz w:val="24"/>
                <w:szCs w:val="24"/>
                <w:highlight w:val="none"/>
              </w:rPr>
              <w:t xml:space="preserve">客观分</w:t>
            </w:r>
            <w:r/>
          </w:p>
        </w:tc>
        <w:tc>
          <w:tcPr>
            <w:tcW w:w="715" w:type="dxa"/>
            <w:vAlign w:val="center"/>
            <w:textDirection w:val="lrTb"/>
            <w:noWrap w:val="false"/>
          </w:tcPr>
          <w:p>
            <w:pPr>
              <w:ind w:firstLine="28"/>
              <w:jc w:val="center"/>
              <w:rPr>
                <w:rFonts w:hint="default" w:eastAsia="宋体"/>
                <w:color w:val="auto"/>
                <w:sz w:val="24"/>
                <w:szCs w:val="24"/>
                <w:highlight w:val="none"/>
                <w:lang w:val="en-US" w:eastAsia="zh-CN"/>
              </w:rPr>
            </w:pPr>
            <w:r>
              <w:rPr>
                <w:rFonts w:hint="eastAsia" w:eastAsia="宋体"/>
                <w:color w:val="auto"/>
                <w:sz w:val="24"/>
                <w:szCs w:val="24"/>
                <w:highlight w:val="none"/>
                <w:lang w:val="en-US" w:eastAsia="zh-CN"/>
              </w:rPr>
              <w:t xml:space="preserve">25</w:t>
            </w:r>
            <w:r/>
          </w:p>
        </w:tc>
        <w:tc>
          <w:tcPr>
            <w:tcW w:w="4558"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835" w:type="dxa"/>
            <w:vAlign w:val="center"/>
            <w:textDirection w:val="lrTb"/>
            <w:noWrap w:val="false"/>
          </w:tcPr>
          <w:p>
            <w:pPr>
              <w:ind w:left="-38"/>
              <w:rPr>
                <w:rFonts w:eastAsia="宋体"/>
                <w:color w:val="auto"/>
                <w:sz w:val="24"/>
                <w:szCs w:val="24"/>
                <w:highlight w:val="none"/>
              </w:rPr>
            </w:pPr>
            <w:r>
              <w:rPr>
                <w:rFonts w:eastAsia="宋体"/>
                <w:color w:val="auto"/>
                <w:sz w:val="24"/>
                <w:szCs w:val="24"/>
                <w:highlight w:val="none"/>
              </w:rPr>
            </w:r>
            <w:r/>
          </w:p>
        </w:tc>
      </w:tr>
      <w:tr>
        <w:trPr>
          <w:trHeight w:val="2848"/>
        </w:trPr>
        <w:tc>
          <w:tcPr>
            <w:tcW w:w="835" w:type="dxa"/>
            <w:vAlign w:val="center"/>
            <w:textDirection w:val="lrTb"/>
            <w:noWrap w:val="false"/>
          </w:tcPr>
          <w:p>
            <w:pPr>
              <w:ind w:firstLine="28"/>
              <w:jc w:val="center"/>
              <w:rPr>
                <w:rFonts w:eastAsia="宋体"/>
                <w:color w:val="auto"/>
                <w:sz w:val="24"/>
                <w:szCs w:val="24"/>
                <w:highlight w:val="none"/>
              </w:rPr>
            </w:pPr>
            <w:r>
              <w:rPr>
                <w:rFonts w:hint="eastAsia" w:eastAsia="宋体"/>
                <w:color w:val="auto"/>
                <w:sz w:val="24"/>
                <w:szCs w:val="24"/>
                <w:highlight w:val="none"/>
              </w:rPr>
              <w:t xml:space="preserve">3.1</w:t>
            </w:r>
            <w:r/>
          </w:p>
        </w:tc>
        <w:tc>
          <w:tcPr>
            <w:tcW w:w="1275" w:type="dxa"/>
            <w:vAlign w:val="center"/>
            <w:textDirection w:val="lrTb"/>
            <w:noWrap w:val="false"/>
          </w:tcPr>
          <w:p>
            <w:pPr>
              <w:ind w:firstLine="28"/>
              <w:jc w:val="center"/>
              <w:rPr>
                <w:rFonts w:hint="eastAsia" w:eastAsia="宋体"/>
                <w:color w:val="auto"/>
                <w:sz w:val="24"/>
                <w:szCs w:val="24"/>
                <w:highlight w:val="none"/>
                <w:lang w:val="en-US" w:eastAsia="zh-CN"/>
              </w:rPr>
            </w:pPr>
            <w:r>
              <w:rPr>
                <w:rFonts w:hint="eastAsia" w:eastAsia="宋体"/>
                <w:color w:val="auto"/>
                <w:sz w:val="24"/>
                <w:szCs w:val="24"/>
                <w:highlight w:val="none"/>
                <w:lang w:val="en-US" w:eastAsia="zh-CN"/>
              </w:rPr>
              <w:t xml:space="preserve">业绩</w:t>
            </w:r>
            <w:r/>
          </w:p>
        </w:tc>
        <w:tc>
          <w:tcPr>
            <w:tcW w:w="715" w:type="dxa"/>
            <w:vAlign w:val="center"/>
            <w:textDirection w:val="lrTb"/>
            <w:noWrap w:val="false"/>
          </w:tcPr>
          <w:p>
            <w:pPr>
              <w:ind w:firstLine="28"/>
              <w:jc w:val="center"/>
              <w:rPr>
                <w:rFonts w:hint="default" w:eastAsia="宋体"/>
                <w:color w:val="auto"/>
                <w:sz w:val="24"/>
                <w:szCs w:val="24"/>
                <w:highlight w:val="none"/>
                <w:lang w:val="en-US" w:eastAsia="zh-CN"/>
              </w:rPr>
            </w:pPr>
            <w:r>
              <w:rPr>
                <w:rFonts w:hint="eastAsia" w:eastAsia="宋体"/>
                <w:color w:val="auto"/>
                <w:sz w:val="24"/>
                <w:szCs w:val="24"/>
                <w:highlight w:val="none"/>
                <w:lang w:val="en-US" w:eastAsia="zh-CN"/>
              </w:rPr>
              <w:t xml:space="preserve">25</w:t>
            </w:r>
            <w:r/>
          </w:p>
        </w:tc>
        <w:tc>
          <w:tcPr>
            <w:tcW w:w="4558" w:type="dxa"/>
            <w:vAlign w:val="center"/>
            <w:textDirection w:val="lrTb"/>
            <w:noWrap w:val="false"/>
          </w:tcPr>
          <w:p>
            <w:pPr>
              <w:tabs>
                <w:tab w:val="left" w:pos="1890" w:leader="none"/>
              </w:tabs>
              <w:rPr>
                <w:rFonts w:eastAsia="宋体"/>
                <w:color w:val="auto"/>
                <w:sz w:val="24"/>
                <w:szCs w:val="24"/>
                <w:highlight w:val="none"/>
              </w:rPr>
            </w:pPr>
            <w:r>
              <w:rPr>
                <w:rFonts w:hint="eastAsia" w:ascii="宋体" w:hAnsi="宋体" w:eastAsia="宋体" w:cs="宋体"/>
                <w:color w:val="000000"/>
                <w:spacing w:val="0"/>
                <w:position w:val="0"/>
                <w:sz w:val="24"/>
                <w:szCs w:val="24"/>
              </w:rPr>
              <w:t xml:space="preserve">供应商</w:t>
            </w:r>
            <w:r>
              <w:rPr>
                <w:rFonts w:hint="eastAsia" w:ascii="宋体" w:hAnsi="宋体" w:eastAsia="宋体" w:cs="宋体"/>
                <w:color w:val="000000"/>
                <w:spacing w:val="0"/>
                <w:position w:val="0"/>
                <w:sz w:val="24"/>
                <w:szCs w:val="24"/>
                <w:lang w:val="en-US" w:eastAsia="zh-CN"/>
              </w:rPr>
              <w:t xml:space="preserve">自2022年</w:t>
            </w:r>
            <w:r>
              <w:rPr>
                <w:rFonts w:hint="eastAsia" w:ascii="宋体" w:hAnsi="宋体" w:cs="宋体"/>
                <w:color w:val="000000"/>
                <w:spacing w:val="0"/>
                <w:position w:val="0"/>
                <w:sz w:val="24"/>
                <w:szCs w:val="24"/>
                <w:lang w:val="en-US" w:eastAsia="zh-CN"/>
              </w:rPr>
              <w:t xml:space="preserve">1</w:t>
            </w:r>
            <w:r>
              <w:rPr>
                <w:rFonts w:hint="eastAsia" w:ascii="宋体" w:hAnsi="宋体" w:eastAsia="宋体" w:cs="宋体"/>
                <w:color w:val="000000"/>
                <w:spacing w:val="0"/>
                <w:position w:val="0"/>
                <w:sz w:val="24"/>
                <w:szCs w:val="24"/>
                <w:lang w:val="en-US" w:eastAsia="zh-CN"/>
              </w:rPr>
              <w:t xml:space="preserve">月1日以来</w:t>
            </w:r>
            <w:r>
              <w:rPr>
                <w:rFonts w:hint="eastAsia" w:ascii="宋体" w:hAnsi="宋体" w:eastAsia="宋体" w:cs="宋体"/>
                <w:color w:val="000000"/>
                <w:spacing w:val="0"/>
                <w:position w:val="0"/>
                <w:sz w:val="24"/>
                <w:szCs w:val="24"/>
              </w:rPr>
              <w:t xml:space="preserve">承担</w:t>
            </w:r>
            <w:r>
              <w:rPr>
                <w:rFonts w:hint="eastAsia" w:ascii="宋体" w:hAnsi="宋体" w:eastAsia="宋体" w:cs="宋体"/>
                <w:color w:val="000000"/>
                <w:spacing w:val="0"/>
                <w:position w:val="0"/>
                <w:sz w:val="24"/>
                <w:szCs w:val="24"/>
                <w:lang w:val="en-US" w:eastAsia="zh-CN"/>
              </w:rPr>
              <w:t xml:space="preserve">的</w:t>
            </w:r>
            <w:r>
              <w:rPr>
                <w:rFonts w:hint="eastAsia" w:ascii="宋体" w:hAnsi="宋体" w:eastAsia="宋体" w:cs="宋体"/>
                <w:color w:val="000000"/>
                <w:spacing w:val="0"/>
                <w:position w:val="0"/>
                <w:sz w:val="24"/>
                <w:szCs w:val="24"/>
              </w:rPr>
              <w:t xml:space="preserve">类似</w:t>
            </w:r>
            <w:r>
              <w:rPr>
                <w:rFonts w:hint="eastAsia" w:ascii="宋体" w:hAnsi="宋体" w:eastAsia="宋体" w:cs="宋体"/>
                <w:color w:val="000000"/>
                <w:spacing w:val="0"/>
                <w:position w:val="0"/>
                <w:sz w:val="24"/>
                <w:szCs w:val="24"/>
                <w:lang w:val="en-US" w:eastAsia="zh-CN"/>
              </w:rPr>
              <w:t xml:space="preserve">环卫清扫保洁（或合同范围内包含</w:t>
            </w:r>
            <w:r>
              <w:rPr>
                <w:rFonts w:hint="eastAsia" w:ascii="宋体" w:hAnsi="宋体" w:eastAsia="宋体" w:cs="宋体"/>
                <w:color w:val="000000"/>
                <w:sz w:val="24"/>
                <w:szCs w:val="24"/>
                <w:highlight w:val="none"/>
                <w:lang w:val="en-US" w:eastAsia="zh-CN"/>
              </w:rPr>
              <w:t xml:space="preserve">清扫保洁及垃圾收运等</w:t>
            </w:r>
            <w:r>
              <w:rPr>
                <w:rFonts w:hint="eastAsia" w:ascii="宋体" w:hAnsi="宋体" w:eastAsia="宋体" w:cs="宋体"/>
                <w:color w:val="000000"/>
                <w:spacing w:val="0"/>
                <w:position w:val="0"/>
                <w:sz w:val="24"/>
                <w:szCs w:val="24"/>
                <w:lang w:val="en-US" w:eastAsia="zh-CN"/>
              </w:rPr>
              <w:t xml:space="preserve">）作业</w:t>
            </w:r>
            <w:r>
              <w:rPr>
                <w:rFonts w:hint="eastAsia" w:ascii="宋体" w:hAnsi="宋体" w:eastAsia="宋体" w:cs="宋体"/>
                <w:color w:val="000000"/>
                <w:spacing w:val="0"/>
                <w:position w:val="0"/>
                <w:sz w:val="24"/>
                <w:szCs w:val="24"/>
              </w:rPr>
              <w:t xml:space="preserve">项目的</w:t>
            </w:r>
            <w:r>
              <w:rPr>
                <w:rFonts w:hint="eastAsia" w:eastAsia="宋体"/>
                <w:color w:val="auto"/>
                <w:sz w:val="24"/>
                <w:szCs w:val="24"/>
                <w:highlight w:val="none"/>
              </w:rPr>
              <w:t xml:space="preserve">，</w:t>
            </w:r>
            <w:r>
              <w:rPr>
                <w:rFonts w:hint="eastAsia" w:eastAsia="宋体"/>
                <w:color w:val="auto"/>
                <w:sz w:val="24"/>
                <w:szCs w:val="24"/>
                <w:highlight w:val="none"/>
                <w:lang w:val="en-US" w:eastAsia="zh-CN"/>
              </w:rPr>
              <w:t xml:space="preserve">每提供一份</w:t>
            </w:r>
            <w:r>
              <w:rPr>
                <w:rFonts w:hint="eastAsia" w:eastAsia="宋体"/>
                <w:color w:val="auto"/>
                <w:sz w:val="24"/>
                <w:szCs w:val="24"/>
                <w:highlight w:val="none"/>
              </w:rPr>
              <w:t xml:space="preserve">得</w:t>
            </w:r>
            <w:r>
              <w:rPr>
                <w:rFonts w:hint="eastAsia" w:eastAsia="宋体"/>
                <w:color w:val="auto"/>
                <w:sz w:val="24"/>
                <w:szCs w:val="24"/>
                <w:highlight w:val="none"/>
                <w:lang w:val="en-US" w:eastAsia="zh-CN"/>
              </w:rPr>
              <w:t xml:space="preserve">5</w:t>
            </w:r>
            <w:r>
              <w:rPr>
                <w:rFonts w:hint="eastAsia" w:eastAsia="宋体"/>
                <w:color w:val="auto"/>
                <w:sz w:val="24"/>
                <w:szCs w:val="24"/>
                <w:highlight w:val="none"/>
              </w:rPr>
              <w:t xml:space="preserve">分，</w:t>
            </w:r>
            <w:r>
              <w:rPr>
                <w:rFonts w:hint="eastAsia" w:eastAsia="宋体"/>
                <w:color w:val="auto"/>
                <w:sz w:val="24"/>
                <w:szCs w:val="24"/>
                <w:highlight w:val="none"/>
                <w:lang w:val="en-US" w:eastAsia="zh-CN"/>
              </w:rPr>
              <w:t xml:space="preserve">最高得25分</w:t>
            </w:r>
            <w:r>
              <w:rPr>
                <w:rFonts w:hint="eastAsia" w:eastAsia="宋体"/>
                <w:color w:val="auto"/>
                <w:sz w:val="24"/>
                <w:szCs w:val="24"/>
                <w:highlight w:val="none"/>
              </w:rPr>
              <w:t xml:space="preserve">，不提供不得分。</w:t>
            </w:r>
            <w:r/>
          </w:p>
        </w:tc>
        <w:tc>
          <w:tcPr>
            <w:tcW w:w="1835" w:type="dxa"/>
            <w:vAlign w:val="center"/>
            <w:textDirection w:val="lrTb"/>
            <w:noWrap w:val="false"/>
          </w:tcPr>
          <w:p>
            <w:pPr>
              <w:ind w:left="-38"/>
              <w:rPr>
                <w:rFonts w:hint="default" w:eastAsia="宋体"/>
                <w:color w:val="auto"/>
                <w:sz w:val="24"/>
                <w:szCs w:val="24"/>
                <w:highlight w:val="none"/>
                <w:lang w:val="en-US" w:eastAsia="zh-CN"/>
              </w:rPr>
            </w:pPr>
            <w:r>
              <w:rPr>
                <w:rFonts w:hint="eastAsia" w:ascii="宋体" w:hAnsi="宋体" w:eastAsia="宋体" w:cs="宋体"/>
                <w:b/>
                <w:bCs/>
                <w:color w:val="000000"/>
                <w:spacing w:val="0"/>
                <w:position w:val="0"/>
                <w:sz w:val="24"/>
                <w:szCs w:val="24"/>
              </w:rPr>
              <w:t xml:space="preserve">须提供服务合同</w:t>
            </w:r>
            <w:r>
              <w:rPr>
                <w:rFonts w:hint="eastAsia" w:ascii="宋体" w:hAnsi="宋体" w:eastAsia="宋体" w:cs="宋体"/>
                <w:b/>
                <w:bCs/>
                <w:color w:val="000000"/>
                <w:spacing w:val="0"/>
                <w:position w:val="0"/>
                <w:sz w:val="24"/>
                <w:szCs w:val="24"/>
                <w:lang w:val="en-US" w:eastAsia="zh-CN" w:bidi="ar"/>
              </w:rPr>
              <w:t xml:space="preserve">扫描件加盖电子公章</w:t>
            </w:r>
            <w:r>
              <w:rPr>
                <w:rFonts w:hint="eastAsia" w:ascii="宋体" w:hAnsi="宋体" w:eastAsia="宋体" w:cs="宋体"/>
                <w:b/>
                <w:bCs/>
                <w:color w:val="000000"/>
                <w:spacing w:val="0"/>
                <w:position w:val="0"/>
                <w:sz w:val="24"/>
                <w:szCs w:val="24"/>
              </w:rPr>
              <w:t xml:space="preserve">，时间以合同签订时间为准。</w:t>
            </w:r>
            <w:r>
              <w:rPr>
                <w:rFonts w:hint="eastAsia" w:ascii="宋体" w:hAnsi="宋体" w:eastAsia="宋体" w:cs="宋体"/>
                <w:b/>
                <w:bCs/>
                <w:color w:val="000000"/>
                <w:spacing w:val="0"/>
                <w:position w:val="0"/>
                <w:sz w:val="24"/>
                <w:szCs w:val="24"/>
                <w:highlight w:val="none"/>
                <w:lang w:val="en-US" w:eastAsia="zh-CN" w:bidi="ar-SA"/>
              </w:rPr>
              <w:t xml:space="preserve">不提供不得分。</w:t>
            </w:r>
            <w:r/>
          </w:p>
        </w:tc>
      </w:tr>
      <w:tr>
        <w:trPr/>
        <w:tc>
          <w:tcPr>
            <w:gridSpan w:val="2"/>
            <w:tcW w:w="2110" w:type="dxa"/>
            <w:vAlign w:val="center"/>
            <w:textDirection w:val="lrTb"/>
            <w:noWrap w:val="false"/>
          </w:tcPr>
          <w:p>
            <w:pPr>
              <w:ind w:firstLine="28"/>
              <w:jc w:val="center"/>
              <w:rPr>
                <w:rFonts w:eastAsia="宋体"/>
                <w:color w:val="auto"/>
                <w:sz w:val="24"/>
                <w:szCs w:val="24"/>
                <w:highlight w:val="none"/>
              </w:rPr>
            </w:pPr>
            <w:r>
              <w:rPr>
                <w:rFonts w:eastAsia="宋体"/>
                <w:color w:val="auto"/>
                <w:sz w:val="24"/>
                <w:szCs w:val="24"/>
                <w:highlight w:val="none"/>
              </w:rPr>
              <w:t xml:space="preserve">合计</w:t>
            </w:r>
            <w:r/>
          </w:p>
        </w:tc>
        <w:tc>
          <w:tcPr>
            <w:tcW w:w="715" w:type="dxa"/>
            <w:vAlign w:val="center"/>
            <w:textDirection w:val="lrTb"/>
            <w:noWrap w:val="false"/>
          </w:tcPr>
          <w:p>
            <w:pPr>
              <w:ind w:firstLine="28"/>
              <w:jc w:val="center"/>
              <w:rPr>
                <w:rFonts w:eastAsia="宋体"/>
                <w:color w:val="auto"/>
                <w:sz w:val="24"/>
                <w:szCs w:val="24"/>
                <w:highlight w:val="none"/>
              </w:rPr>
            </w:pPr>
            <w:r>
              <w:rPr>
                <w:rFonts w:eastAsia="宋体"/>
                <w:color w:val="auto"/>
                <w:sz w:val="24"/>
                <w:szCs w:val="24"/>
                <w:highlight w:val="none"/>
              </w:rPr>
              <w:t xml:space="preserve">100</w:t>
            </w:r>
            <w:r/>
          </w:p>
        </w:tc>
        <w:tc>
          <w:tcPr>
            <w:gridSpan w:val="2"/>
            <w:tcW w:w="6393"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r>
    </w:tbl>
    <w:p>
      <w:pPr>
        <w:ind w:left="0"/>
        <w:spacing w:line="360" w:lineRule="auto"/>
        <w:tabs>
          <w:tab w:val="left" w:pos="360" w:leader="none"/>
          <w:tab w:val="left" w:pos="1080" w:leader="none"/>
        </w:tabs>
        <w:rPr>
          <w:color w:val="000000"/>
          <w:sz w:val="24"/>
        </w:rPr>
      </w:pPr>
      <w:r>
        <w:rPr>
          <w:color w:val="000000"/>
          <w:sz w:val="24"/>
        </w:rPr>
      </w:r>
      <w:r/>
    </w:p>
    <w:p>
      <w:pPr>
        <w:jc w:val="center"/>
        <w:spacing w:line="360" w:lineRule="auto"/>
        <w:rPr>
          <w:sz w:val="24"/>
        </w:rPr>
        <w:outlineLvl w:val="0"/>
      </w:pPr>
      <w:r>
        <w:rPr>
          <w:b/>
          <w:sz w:val="36"/>
          <w:szCs w:val="36"/>
        </w:rPr>
        <w:br w:type="page" w:clear="all"/>
      </w:r>
      <w:bookmarkStart w:id="669" w:name="_Toc104818928"/>
      <w:r>
        <w:rPr>
          <w:b/>
          <w:sz w:val="36"/>
          <w:szCs w:val="36"/>
        </w:rPr>
        <w:t xml:space="preserve">第四章   采购需求</w:t>
      </w:r>
      <w:bookmarkEnd w:id="669"/>
      <w:r/>
      <w:r/>
    </w:p>
    <w:p>
      <w:pPr>
        <w:pStyle w:val="893"/>
        <w:numPr>
          <w:ilvl w:val="0"/>
          <w:numId w:val="0"/>
        </w:numPr>
        <w:contextualSpacing/>
        <w:spacing w:line="360" w:lineRule="auto"/>
        <w:rPr>
          <w:rFonts w:ascii="Times New Roman" w:hAnsi="Times New Roman"/>
          <w:b/>
          <w:sz w:val="24"/>
          <w:szCs w:val="24"/>
        </w:rPr>
      </w:pPr>
      <w:r/>
      <w:bookmarkStart w:id="670" w:name="_Toc104818929"/>
      <w:r>
        <w:rPr>
          <w:rFonts w:hint="eastAsia" w:ascii="Times New Roman" w:hAnsi="Times New Roman"/>
          <w:b/>
          <w:sz w:val="24"/>
          <w:szCs w:val="24"/>
          <w:lang w:val="en-US" w:eastAsia="zh-CN"/>
        </w:rPr>
        <w:t xml:space="preserve">一、</w:t>
      </w:r>
      <w:r>
        <w:rPr>
          <w:rFonts w:ascii="Times New Roman" w:hAnsi="Times New Roman"/>
          <w:b/>
          <w:sz w:val="24"/>
          <w:szCs w:val="24"/>
        </w:rPr>
        <w:t xml:space="preserve">采购标的</w:t>
      </w:r>
      <w:r/>
    </w:p>
    <w:p>
      <w:pPr>
        <w:numPr>
          <w:ilvl w:val="0"/>
          <w:numId w:val="12"/>
        </w:numPr>
        <w:contextualSpacing/>
        <w:spacing w:line="360" w:lineRule="auto"/>
        <w:rPr>
          <w:rFonts w:hint="eastAsia"/>
          <w:bCs/>
          <w:sz w:val="24"/>
        </w:rPr>
      </w:pPr>
      <w:r>
        <w:rPr>
          <w:bCs/>
          <w:sz w:val="24"/>
        </w:rPr>
        <w:t xml:space="preserve">采购标的</w:t>
      </w:r>
      <w:r>
        <w:rPr>
          <w:rFonts w:hint="eastAsia"/>
          <w:bCs/>
          <w:sz w:val="24"/>
        </w:rPr>
        <w:t xml:space="preserve">：</w:t>
      </w:r>
      <w:r>
        <w:rPr>
          <w:rFonts w:hint="eastAsia"/>
          <w:sz w:val="24"/>
          <w:highlight w:val="none"/>
          <w:lang w:eastAsia="zh-CN"/>
        </w:rPr>
        <w:t xml:space="preserve">曹山旅游度假区保洁服务项目</w:t>
      </w:r>
      <w:r/>
    </w:p>
    <w:p>
      <w:pPr>
        <w:numPr>
          <w:ilvl w:val="0"/>
          <w:numId w:val="12"/>
        </w:numPr>
        <w:contextualSpacing/>
        <w:spacing w:line="360" w:lineRule="auto"/>
        <w:rPr>
          <w:rFonts w:hint="eastAsia"/>
          <w:bCs/>
          <w:sz w:val="24"/>
        </w:rPr>
      </w:pPr>
      <w:r>
        <w:rPr>
          <w:rFonts w:hint="eastAsia"/>
          <w:bCs/>
          <w:sz w:val="24"/>
        </w:rPr>
        <w:t xml:space="preserve">项目概述：</w:t>
      </w:r>
      <w:r/>
    </w:p>
    <w:p>
      <w:pPr>
        <w:numPr>
          <w:ilvl w:val="0"/>
          <w:numId w:val="0"/>
        </w:numPr>
        <w:contextualSpacing/>
        <w:ind w:firstLine="480"/>
        <w:spacing w:line="360" w:lineRule="auto"/>
        <w:rPr>
          <w:rFonts w:hint="eastAsia" w:cs="Times New Roman"/>
          <w:sz w:val="24"/>
          <w:highlight w:val="none"/>
          <w:lang w:val="en-US" w:eastAsia="zh-CN"/>
        </w:rPr>
      </w:pPr>
      <w:r>
        <w:rPr>
          <w:rFonts w:hint="eastAsia" w:ascii="Times New Roman" w:hAnsi="Times New Roman" w:eastAsia="宋体" w:cs="Times New Roman"/>
          <w:sz w:val="24"/>
          <w:highlight w:val="none"/>
          <w:lang w:eastAsia="zh-CN"/>
        </w:rPr>
        <w:t xml:space="preserve">本项目为</w:t>
      </w:r>
      <w:r>
        <w:rPr>
          <w:rFonts w:hint="eastAsia" w:cs="Times New Roman"/>
          <w:sz w:val="24"/>
          <w:highlight w:val="none"/>
          <w:lang w:eastAsia="zh-CN"/>
        </w:rPr>
        <w:t xml:space="preserve">曹山旅游度假区保洁服务项目</w:t>
      </w:r>
      <w:r>
        <w:rPr>
          <w:rFonts w:hint="eastAsia" w:ascii="Times New Roman" w:hAnsi="Times New Roman" w:eastAsia="宋体" w:cs="Times New Roman"/>
          <w:sz w:val="24"/>
          <w:highlight w:val="none"/>
          <w:lang w:eastAsia="zh-CN"/>
        </w:rPr>
        <w:t xml:space="preserve">。</w:t>
      </w:r>
      <w:r>
        <w:rPr>
          <w:rFonts w:hint="eastAsia" w:cs="Times New Roman"/>
          <w:sz w:val="24"/>
          <w:highlight w:val="none"/>
          <w:lang w:val="en-US" w:eastAsia="zh-CN"/>
        </w:rPr>
        <w:t xml:space="preserve">本项目分两个采购包。</w:t>
      </w:r>
      <w:r/>
    </w:p>
    <w:p>
      <w:pPr>
        <w:numPr>
          <w:ilvl w:val="0"/>
          <w:numId w:val="0"/>
        </w:numPr>
        <w:contextualSpacing/>
        <w:ind w:firstLine="480"/>
        <w:spacing w:line="360" w:lineRule="auto"/>
        <w:rPr>
          <w:rFonts w:hint="eastAsia" w:ascii="Times New Roman" w:hAnsi="Times New Roman" w:eastAsia="宋体" w:cs="Times New Roman"/>
          <w:sz w:val="24"/>
          <w:highlight w:val="none"/>
          <w:lang w:eastAsia="zh-CN"/>
        </w:rPr>
      </w:pPr>
      <w:r>
        <w:rPr>
          <w:rFonts w:hint="eastAsia" w:cs="Times New Roman"/>
          <w:sz w:val="24"/>
          <w:highlight w:val="none"/>
          <w:lang w:val="en-US" w:eastAsia="zh-CN"/>
        </w:rPr>
        <w:t xml:space="preserve">采购包1</w:t>
      </w:r>
      <w:r>
        <w:rPr>
          <w:rFonts w:hint="eastAsia" w:ascii="Times New Roman" w:hAnsi="Times New Roman" w:eastAsia="宋体" w:cs="Times New Roman"/>
          <w:sz w:val="24"/>
          <w:highlight w:val="none"/>
          <w:lang w:val="en-US" w:eastAsia="zh-CN"/>
        </w:rPr>
        <w:t xml:space="preserve">：</w:t>
      </w:r>
      <w:r>
        <w:rPr>
          <w:rFonts w:hint="eastAsia" w:eastAsia="宋体"/>
          <w:sz w:val="24"/>
          <w:highlight w:val="none"/>
          <w:lang w:eastAsia="zh-CN"/>
        </w:rPr>
        <w:t xml:space="preserve">曹山旅游度假区道路、停车场、厕所保洁服务项目，</w:t>
      </w:r>
      <w:r>
        <w:rPr>
          <w:rFonts w:hint="eastAsia" w:ascii="Times New Roman" w:hAnsi="Times New Roman" w:eastAsia="宋体" w:cs="Times New Roman"/>
          <w:sz w:val="24"/>
          <w:highlight w:val="none"/>
          <w:lang w:val="en-US" w:eastAsia="zh-CN"/>
        </w:rPr>
        <w:t xml:space="preserve">对曹山旅游度假区内道路、停车场、厕所清洗卫生保洁管理。达到旅游及参观的高标准要求。</w:t>
      </w:r>
      <w:r/>
    </w:p>
    <w:p>
      <w:pPr>
        <w:ind w:firstLine="480"/>
        <w:jc w:val="left"/>
        <w:spacing w:line="360" w:lineRule="auto"/>
        <w:rPr>
          <w:rFonts w:hint="eastAsia" w:ascii="Times New Roman" w:hAnsi="Times New Roman" w:eastAsia="宋体" w:cs="Times New Roman"/>
          <w:color w:val="auto"/>
          <w:sz w:val="24"/>
          <w:highlight w:val="none"/>
          <w:lang w:val="en-US" w:eastAsia="zh-CN"/>
        </w:rPr>
      </w:pPr>
      <w:r>
        <w:rPr>
          <w:rFonts w:hint="eastAsia" w:cs="Times New Roman"/>
          <w:color w:val="auto"/>
          <w:sz w:val="24"/>
          <w:highlight w:val="none"/>
          <w:lang w:val="en-US" w:eastAsia="zh-CN"/>
        </w:rPr>
        <w:t xml:space="preserve">采购包2</w:t>
      </w:r>
      <w:r>
        <w:rPr>
          <w:rFonts w:hint="eastAsia" w:ascii="Times New Roman" w:hAnsi="Times New Roman" w:eastAsia="宋体" w:cs="Times New Roman"/>
          <w:color w:val="auto"/>
          <w:sz w:val="24"/>
          <w:highlight w:val="none"/>
          <w:lang w:val="en-US" w:eastAsia="zh-CN"/>
        </w:rPr>
        <w:t xml:space="preserve">： 曹山旅游度假区美音茶园及牛马塘村庄保洁服务项目，对美音茶园景区、牛马塘整个村庄、曹山花坊景区</w:t>
      </w:r>
      <w:r>
        <w:rPr>
          <w:rFonts w:hint="eastAsia" w:cs="Times New Roman"/>
          <w:color w:val="auto"/>
          <w:sz w:val="24"/>
          <w:highlight w:val="none"/>
          <w:lang w:val="en-US" w:eastAsia="zh-CN"/>
        </w:rPr>
        <w:t xml:space="preserve">进行</w:t>
      </w:r>
      <w:r>
        <w:rPr>
          <w:rFonts w:hint="eastAsia" w:ascii="Times New Roman" w:hAnsi="Times New Roman" w:eastAsia="宋体" w:cs="Times New Roman"/>
          <w:color w:val="auto"/>
          <w:sz w:val="24"/>
          <w:highlight w:val="none"/>
          <w:lang w:val="en-US" w:eastAsia="zh-CN"/>
        </w:rPr>
        <w:t xml:space="preserve">保洁管理，管理面积约218000平方米，达到旅游及参观的高标准要求。</w:t>
      </w:r>
      <w:r/>
    </w:p>
    <w:p>
      <w:pPr>
        <w:numPr>
          <w:ilvl w:val="0"/>
          <w:numId w:val="0"/>
        </w:numPr>
        <w:contextualSpacing/>
        <w:jc w:val="both"/>
        <w:spacing w:line="360" w:lineRule="auto"/>
        <w:widowControl w:val="off"/>
        <w:rPr>
          <w:rFonts w:hint="default" w:ascii="Times New Roman" w:hAnsi="Times New Roman" w:eastAsia="宋体" w:cs="Times New Roman"/>
          <w:b/>
          <w:sz w:val="24"/>
          <w:szCs w:val="24"/>
          <w:highlight w:val="none"/>
          <w:lang w:val="en-US" w:eastAsia="zh-CN" w:bidi="ar-SA"/>
        </w:rPr>
      </w:pPr>
      <w:r>
        <w:rPr>
          <w:rFonts w:hint="eastAsia" w:ascii="Times New Roman" w:hAnsi="Times New Roman" w:eastAsia="宋体" w:cs="Times New Roman"/>
          <w:b/>
          <w:sz w:val="24"/>
          <w:szCs w:val="24"/>
          <w:highlight w:val="none"/>
          <w:lang w:val="en-US" w:eastAsia="zh-CN" w:bidi="ar-SA"/>
        </w:rPr>
        <w:t xml:space="preserve">二、作业范围</w:t>
      </w:r>
      <w:r/>
    </w:p>
    <w:p>
      <w:pPr>
        <w:numPr>
          <w:ilvl w:val="0"/>
          <w:numId w:val="0"/>
        </w:numPr>
        <w:contextualSpacing/>
        <w:ind w:firstLine="480"/>
        <w:spacing w:line="360" w:lineRule="auto"/>
        <w:rPr>
          <w:rFonts w:hint="default" w:ascii="Times New Roman" w:hAnsi="Times New Roman" w:eastAsia="宋体" w:cs="Times New Roman"/>
          <w:sz w:val="24"/>
          <w:highlight w:val="none"/>
          <w:lang w:val="en-US" w:eastAsia="zh-CN"/>
        </w:rPr>
      </w:pPr>
      <w:r>
        <w:rPr>
          <w:rFonts w:hint="eastAsia" w:cs="Times New Roman"/>
          <w:sz w:val="24"/>
          <w:highlight w:val="none"/>
          <w:lang w:val="en-US" w:eastAsia="zh-CN"/>
        </w:rPr>
        <w:t xml:space="preserve">采购包1</w:t>
      </w:r>
      <w:r>
        <w:rPr>
          <w:rFonts w:hint="eastAsia" w:eastAsia="宋体" w:cs="Times New Roman"/>
          <w:sz w:val="24"/>
          <w:highlight w:val="none"/>
          <w:lang w:val="en-US" w:eastAsia="zh-CN"/>
        </w:rPr>
        <w:t xml:space="preserve">：</w:t>
      </w:r>
      <w:r>
        <w:rPr>
          <w:rFonts w:hint="eastAsia" w:eastAsia="宋体"/>
          <w:sz w:val="24"/>
          <w:highlight w:val="none"/>
          <w:lang w:eastAsia="zh-CN"/>
        </w:rPr>
        <w:t xml:space="preserve">曹山旅游度假区道路、停车场、厕所保洁服务项目</w:t>
      </w:r>
      <w:r/>
    </w:p>
    <w:p>
      <w:pPr>
        <w:numPr>
          <w:ilvl w:val="0"/>
          <w:numId w:val="0"/>
        </w:numPr>
        <w:contextualSpacing/>
        <w:ind w:firstLine="480"/>
        <w:spacing w:line="360" w:lineRule="auto"/>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lang w:val="en-US" w:eastAsia="zh-CN"/>
        </w:rPr>
        <w:t xml:space="preserve">一</w:t>
      </w:r>
      <w:r>
        <w:rPr>
          <w:rFonts w:hint="eastAsia" w:ascii="Times New Roman" w:hAnsi="Times New Roman" w:eastAsia="宋体" w:cs="Times New Roman"/>
          <w:sz w:val="24"/>
          <w:highlight w:val="none"/>
          <w:lang w:eastAsia="zh-CN"/>
        </w:rPr>
        <w:t xml:space="preserve">）道路:全线:54 公里</w:t>
      </w:r>
      <w:r/>
    </w:p>
    <w:p>
      <w:pPr>
        <w:numPr>
          <w:ilvl w:val="0"/>
          <w:numId w:val="0"/>
        </w:numPr>
        <w:contextualSpacing/>
        <w:ind w:firstLine="480"/>
        <w:spacing w:line="360" w:lineRule="auto"/>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eastAsia="zh-CN"/>
        </w:rPr>
        <w:t xml:space="preserve">1、曹山园区老明公路进口至芳芝林主干大道全程</w:t>
      </w:r>
      <w:r/>
    </w:p>
    <w:p>
      <w:pPr>
        <w:numPr>
          <w:ilvl w:val="0"/>
          <w:numId w:val="0"/>
        </w:numPr>
        <w:contextualSpacing/>
        <w:ind w:firstLine="480"/>
        <w:spacing w:line="360" w:lineRule="auto"/>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eastAsia="zh-CN"/>
        </w:rPr>
        <w:t xml:space="preserve">2、南环公路赵沛村委后头上沛公路岔路口至龙峰簸箕山停车场</w:t>
      </w:r>
      <w:r/>
    </w:p>
    <w:p>
      <w:pPr>
        <w:numPr>
          <w:ilvl w:val="0"/>
          <w:numId w:val="0"/>
        </w:numPr>
        <w:contextualSpacing/>
        <w:ind w:firstLine="480"/>
        <w:spacing w:line="360" w:lineRule="auto"/>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eastAsia="zh-CN"/>
        </w:rPr>
        <w:t xml:space="preserve">3、自行车 1-2 期道路园区办公大楼后面至簸山停车场</w:t>
      </w:r>
      <w:r/>
    </w:p>
    <w:p>
      <w:pPr>
        <w:numPr>
          <w:ilvl w:val="0"/>
          <w:numId w:val="0"/>
        </w:numPr>
        <w:contextualSpacing/>
        <w:ind w:firstLine="480"/>
        <w:spacing w:line="360" w:lineRule="auto"/>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eastAsia="zh-CN"/>
        </w:rPr>
        <w:t xml:space="preserve">4、北环公路老明公路兰花基地岔路口至分界胡家山村大道</w:t>
      </w:r>
      <w:r/>
    </w:p>
    <w:p>
      <w:pPr>
        <w:numPr>
          <w:ilvl w:val="0"/>
          <w:numId w:val="0"/>
        </w:numPr>
        <w:contextualSpacing/>
        <w:ind w:firstLine="480"/>
        <w:spacing w:line="360" w:lineRule="auto"/>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eastAsia="zh-CN"/>
        </w:rPr>
        <w:t xml:space="preserve">5、九岗扒洼道路从乌全岗到京林禅寺</w:t>
      </w:r>
      <w:r/>
    </w:p>
    <w:p>
      <w:pPr>
        <w:numPr>
          <w:ilvl w:val="0"/>
          <w:numId w:val="0"/>
        </w:numPr>
        <w:contextualSpacing/>
        <w:ind w:firstLine="480"/>
        <w:spacing w:line="360" w:lineRule="auto"/>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eastAsia="zh-CN"/>
        </w:rPr>
        <w:t xml:space="preserve">6、曹山登山步道:南起京林禅寺沿曹山顶峰到北山康熙坝</w:t>
      </w:r>
      <w:r/>
    </w:p>
    <w:p>
      <w:pPr>
        <w:numPr>
          <w:ilvl w:val="0"/>
          <w:numId w:val="0"/>
        </w:numPr>
        <w:contextualSpacing/>
        <w:ind w:firstLine="480"/>
        <w:spacing w:line="360" w:lineRule="auto"/>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lang w:val="en-US" w:eastAsia="zh-CN"/>
        </w:rPr>
        <w:t xml:space="preserve">二</w:t>
      </w:r>
      <w:r>
        <w:rPr>
          <w:rFonts w:hint="eastAsia" w:ascii="Times New Roman" w:hAnsi="Times New Roman" w:eastAsia="宋体" w:cs="Times New Roman"/>
          <w:sz w:val="24"/>
          <w:highlight w:val="none"/>
          <w:lang w:eastAsia="zh-CN"/>
        </w:rPr>
        <w:t xml:space="preserve">）停车场，全部: 12.8 万平米</w:t>
      </w:r>
      <w:r/>
    </w:p>
    <w:p>
      <w:pPr>
        <w:numPr>
          <w:ilvl w:val="0"/>
          <w:numId w:val="0"/>
        </w:numPr>
        <w:contextualSpacing/>
        <w:ind w:firstLine="480"/>
        <w:spacing w:line="360" w:lineRule="auto"/>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eastAsia="zh-CN"/>
        </w:rPr>
        <w:t xml:space="preserve">1、曹山驿站停车 2、紫薇谷停车场 3、簸山停车场</w:t>
      </w:r>
      <w:r/>
    </w:p>
    <w:p>
      <w:pPr>
        <w:numPr>
          <w:ilvl w:val="0"/>
          <w:numId w:val="0"/>
        </w:numPr>
        <w:contextualSpacing/>
        <w:ind w:firstLine="480"/>
        <w:spacing w:line="360" w:lineRule="auto"/>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eastAsia="zh-CN"/>
        </w:rPr>
        <w:t xml:space="preserve">4、兰花基地大巴停车场 汽车来斯停车场 火车来斯停车场</w:t>
      </w:r>
      <w:r/>
    </w:p>
    <w:p>
      <w:pPr>
        <w:numPr>
          <w:ilvl w:val="0"/>
          <w:numId w:val="0"/>
        </w:numPr>
        <w:contextualSpacing/>
        <w:ind w:firstLine="480"/>
        <w:spacing w:line="360" w:lineRule="auto"/>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lang w:val="en-US" w:eastAsia="zh-CN"/>
        </w:rPr>
        <w:t xml:space="preserve">三</w:t>
      </w:r>
      <w:r>
        <w:rPr>
          <w:rFonts w:hint="eastAsia" w:ascii="Times New Roman" w:hAnsi="Times New Roman" w:eastAsia="宋体" w:cs="Times New Roman"/>
          <w:sz w:val="24"/>
          <w:highlight w:val="none"/>
          <w:lang w:eastAsia="zh-CN"/>
        </w:rPr>
        <w:t xml:space="preserve">）公厕</w:t>
      </w:r>
      <w:r>
        <w:rPr>
          <w:rFonts w:hint="eastAsia" w:eastAsia="宋体" w:cs="Times New Roman"/>
          <w:sz w:val="24"/>
          <w:highlight w:val="none"/>
          <w:lang w:val="en-US" w:eastAsia="zh-CN"/>
        </w:rPr>
        <w:t xml:space="preserve">5座，</w:t>
      </w:r>
      <w:r>
        <w:rPr>
          <w:rFonts w:hint="eastAsia" w:ascii="Times New Roman" w:hAnsi="Times New Roman" w:eastAsia="宋体" w:cs="Times New Roman"/>
          <w:sz w:val="24"/>
          <w:highlight w:val="none"/>
          <w:lang w:eastAsia="zh-CN"/>
        </w:rPr>
        <w:t xml:space="preserve">总共 2000平米</w:t>
      </w:r>
      <w:r/>
    </w:p>
    <w:p>
      <w:pPr>
        <w:numPr>
          <w:ilvl w:val="0"/>
          <w:numId w:val="0"/>
        </w:numPr>
        <w:contextualSpacing/>
        <w:ind w:firstLine="480"/>
        <w:spacing w:line="360" w:lineRule="auto"/>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lang w:val="en-US" w:eastAsia="zh-CN"/>
        </w:rPr>
        <w:t xml:space="preserve">四</w:t>
      </w:r>
      <w:r>
        <w:rPr>
          <w:rFonts w:hint="eastAsia" w:ascii="Times New Roman" w:hAnsi="Times New Roman" w:eastAsia="宋体" w:cs="Times New Roman"/>
          <w:sz w:val="24"/>
          <w:highlight w:val="none"/>
          <w:lang w:eastAsia="zh-CN"/>
        </w:rPr>
        <w:t xml:space="preserve">）广场总共 1200平米</w:t>
      </w:r>
      <w:r/>
    </w:p>
    <w:p>
      <w:pPr>
        <w:numPr>
          <w:ilvl w:val="0"/>
          <w:numId w:val="0"/>
        </w:numPr>
        <w:contextualSpacing/>
        <w:ind w:firstLine="480"/>
        <w:spacing w:line="360" w:lineRule="auto"/>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eastAsia="zh-CN"/>
        </w:rPr>
        <w:t xml:space="preserve">曹山园区广场池塘水面，池塘对面大草坪广场，火车来斯花海广场</w:t>
      </w:r>
      <w:r/>
    </w:p>
    <w:p>
      <w:pPr>
        <w:numPr>
          <w:ilvl w:val="0"/>
          <w:numId w:val="0"/>
        </w:numPr>
        <w:contextualSpacing/>
        <w:ind w:firstLine="480"/>
        <w:spacing w:line="360" w:lineRule="auto"/>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eastAsia="zh-CN"/>
        </w:rPr>
        <w:t xml:space="preserve">节点一:297.83平米</w:t>
      </w:r>
      <w:r>
        <w:rPr>
          <w:rFonts w:hint="eastAsia" w:eastAsia="宋体" w:cs="Times New Roman"/>
          <w:sz w:val="24"/>
          <w:highlight w:val="none"/>
          <w:lang w:eastAsia="zh-CN"/>
        </w:rPr>
        <w:t xml:space="preserve">；</w:t>
      </w:r>
      <w:r>
        <w:rPr>
          <w:rFonts w:hint="eastAsia" w:ascii="Times New Roman" w:hAnsi="Times New Roman" w:eastAsia="宋体" w:cs="Times New Roman"/>
          <w:sz w:val="24"/>
          <w:highlight w:val="none"/>
          <w:lang w:eastAsia="zh-CN"/>
        </w:rPr>
        <w:t xml:space="preserve">节点二:265.8平米</w:t>
      </w:r>
      <w:r>
        <w:rPr>
          <w:rFonts w:hint="eastAsia" w:eastAsia="宋体" w:cs="Times New Roman"/>
          <w:sz w:val="24"/>
          <w:highlight w:val="none"/>
          <w:lang w:eastAsia="zh-CN"/>
        </w:rPr>
        <w:t xml:space="preserve">；</w:t>
      </w:r>
      <w:r>
        <w:rPr>
          <w:rFonts w:hint="eastAsia" w:ascii="Times New Roman" w:hAnsi="Times New Roman" w:eastAsia="宋体" w:cs="Times New Roman"/>
          <w:sz w:val="24"/>
          <w:highlight w:val="none"/>
          <w:lang w:eastAsia="zh-CN"/>
        </w:rPr>
        <w:t xml:space="preserve">节点三:630.66平米</w:t>
      </w:r>
      <w:r>
        <w:rPr>
          <w:rFonts w:hint="eastAsia" w:eastAsia="宋体" w:cs="Times New Roman"/>
          <w:sz w:val="24"/>
          <w:highlight w:val="none"/>
          <w:lang w:eastAsia="zh-CN"/>
        </w:rPr>
        <w:t xml:space="preserve">；</w:t>
      </w:r>
      <w:r>
        <w:rPr>
          <w:rFonts w:hint="eastAsia" w:ascii="Times New Roman" w:hAnsi="Times New Roman" w:eastAsia="宋体" w:cs="Times New Roman"/>
          <w:sz w:val="24"/>
          <w:highlight w:val="none"/>
          <w:lang w:eastAsia="zh-CN"/>
        </w:rPr>
        <w:t xml:space="preserve">节点四:477.51平米</w:t>
      </w:r>
      <w:r/>
    </w:p>
    <w:p>
      <w:pPr>
        <w:numPr>
          <w:ilvl w:val="0"/>
          <w:numId w:val="13"/>
        </w:numPr>
        <w:contextualSpacing/>
        <w:ind w:firstLine="480"/>
        <w:spacing w:line="360" w:lineRule="auto"/>
        <w:rPr>
          <w:rFonts w:hint="eastAsia" w:ascii="Times New Roman" w:hAnsi="Times New Roman" w:eastAsia="宋体" w:cs="Times New Roman"/>
          <w:sz w:val="24"/>
          <w:highlight w:val="none"/>
          <w:lang w:eastAsia="zh-CN"/>
        </w:rPr>
      </w:pPr>
      <w:r>
        <w:rPr>
          <w:rFonts w:hint="eastAsia" w:eastAsia="宋体" w:cs="Times New Roman"/>
          <w:sz w:val="24"/>
          <w:highlight w:val="none"/>
          <w:lang w:val="en-US" w:eastAsia="zh-CN"/>
        </w:rPr>
        <w:t xml:space="preserve">自行车节点4个，</w:t>
      </w:r>
      <w:r>
        <w:rPr>
          <w:rFonts w:hint="eastAsia" w:ascii="Times New Roman" w:hAnsi="Times New Roman" w:eastAsia="宋体" w:cs="Times New Roman"/>
          <w:sz w:val="24"/>
          <w:highlight w:val="none"/>
          <w:lang w:eastAsia="zh-CN"/>
        </w:rPr>
        <w:t xml:space="preserve">总共 </w:t>
      </w:r>
      <w:r>
        <w:rPr>
          <w:rFonts w:hint="eastAsia" w:eastAsia="宋体" w:cs="Times New Roman"/>
          <w:sz w:val="24"/>
          <w:highlight w:val="none"/>
          <w:lang w:val="en-US" w:eastAsia="zh-CN"/>
        </w:rPr>
        <w:t xml:space="preserve">1672</w:t>
      </w:r>
      <w:r>
        <w:rPr>
          <w:rFonts w:hint="eastAsia" w:ascii="Times New Roman" w:hAnsi="Times New Roman" w:eastAsia="宋体" w:cs="Times New Roman"/>
          <w:sz w:val="24"/>
          <w:highlight w:val="none"/>
          <w:lang w:eastAsia="zh-CN"/>
        </w:rPr>
        <w:t xml:space="preserve">平米</w:t>
      </w:r>
      <w:r/>
    </w:p>
    <w:p>
      <w:pPr>
        <w:pStyle w:val="846"/>
        <w:numPr>
          <w:ilvl w:val="0"/>
          <w:numId w:val="0"/>
        </w:numPr>
        <w:ind w:firstLine="240"/>
        <w:jc w:val="both"/>
        <w:keepLines/>
        <w:keepNext/>
        <w:spacing w:before="360" w:after="200"/>
        <w:widowControl w:val="off"/>
        <w:rPr>
          <w:rFonts w:hint="eastAsia" w:ascii="Times New Roman" w:hAnsi="Times New Roman" w:eastAsia="宋体" w:cs="Times New Roman"/>
          <w:color w:val="auto"/>
          <w:sz w:val="24"/>
          <w:highlight w:val="none"/>
          <w:lang w:val="en-US" w:eastAsia="zh-CN"/>
        </w:rPr>
        <w:outlineLvl w:val="1"/>
      </w:pPr>
      <w:r>
        <w:rPr>
          <w:rFonts w:hint="eastAsia" w:ascii="Times New Roman" w:hAnsi="Times New Roman" w:eastAsia="宋体" w:cs="Times New Roman"/>
          <w:color w:val="auto"/>
          <w:sz w:val="24"/>
          <w:highlight w:val="none"/>
          <w:lang w:val="en-US" w:eastAsia="zh-CN"/>
        </w:rPr>
        <w:t xml:space="preserve">采购包2： 曹山旅游度假区美音茶园及牛马塘村庄保洁服务项目</w:t>
      </w:r>
      <w:r/>
    </w:p>
    <w:p>
      <w:pPr>
        <w:ind w:firstLine="1440"/>
        <w:rPr>
          <w:rFonts w:hint="eastAsia"/>
          <w:lang w:eastAsia="zh-CN"/>
        </w:rPr>
      </w:pPr>
      <w:r>
        <w:rPr>
          <w:rFonts w:hint="eastAsia" w:ascii="Times New Roman" w:hAnsi="Times New Roman" w:eastAsia="宋体" w:cs="Times New Roman"/>
          <w:color w:val="auto"/>
          <w:sz w:val="24"/>
          <w:highlight w:val="none"/>
          <w:lang w:val="en-US" w:eastAsia="zh-CN"/>
        </w:rPr>
        <w:t xml:space="preserve">管理面积约218000平方米</w:t>
      </w:r>
      <w:r/>
    </w:p>
    <w:p>
      <w:pPr>
        <w:rPr>
          <w:rFonts w:hint="eastAsia"/>
          <w:lang w:eastAsia="zh-CN"/>
        </w:rPr>
      </w:pPr>
      <w:r>
        <w:rPr>
          <w:rFonts w:hint="eastAsia"/>
          <w:lang w:eastAsia="zh-CN"/>
        </w:rPr>
      </w:r>
      <w:r/>
    </w:p>
    <w:p>
      <w:pPr>
        <w:pStyle w:val="846"/>
        <w:rPr>
          <w:rFonts w:hint="eastAsia"/>
          <w:lang w:eastAsia="zh-CN"/>
        </w:rPr>
      </w:pPr>
      <w:r>
        <w:rPr>
          <w:rFonts w:hint="eastAsia" w:ascii="Times New Roman" w:hAnsi="Times New Roman" w:eastAsia="宋体" w:cs="Times New Roman"/>
          <w:b/>
          <w:sz w:val="21"/>
          <w:szCs w:val="21"/>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152400</wp:posOffset>
                </wp:positionH>
                <wp:positionV relativeFrom="paragraph">
                  <wp:posOffset>92710</wp:posOffset>
                </wp:positionV>
                <wp:extent cx="5424170" cy="3834130"/>
                <wp:effectExtent l="0" t="0" r="0" b="0"/>
                <wp:wrapSquare wrapText="bothSides"/>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5424170" cy="38341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3360;o:allowoverlap:true;o:allowincell:true;mso-position-horizontal-relative:text;margin-left:12.0pt;mso-position-horizontal:absolute;mso-position-vertical-relative:text;margin-top:7.3pt;mso-position-vertical:absolute;width:427.1pt;height:301.9pt;mso-wrap-distance-left:9.0pt;mso-wrap-distance-top:0.0pt;mso-wrap-distance-right:9.0pt;mso-wrap-distance-bottom:0.0pt;" stroked="f">
                <v:path textboxrect="0,0,0,0"/>
                <w10:wrap type="square"/>
                <v:imagedata r:id="rId24" o:title=""/>
              </v:shape>
            </w:pict>
          </mc:Fallback>
        </mc:AlternateContent>
      </w:r>
      <w:r/>
    </w:p>
    <w:p>
      <w:pPr>
        <w:rPr>
          <w:rFonts w:hint="eastAsia"/>
          <w:lang w:eastAsia="zh-CN"/>
        </w:rPr>
      </w:pPr>
      <w:r>
        <w:rPr>
          <w:rFonts w:hint="eastAsia"/>
          <w:lang w:eastAsia="zh-CN"/>
        </w:rPr>
      </w:r>
      <w:r/>
    </w:p>
    <w:p>
      <w:pPr>
        <w:numPr>
          <w:ilvl w:val="0"/>
          <w:numId w:val="14"/>
        </w:numPr>
        <w:contextualSpacing/>
        <w:jc w:val="both"/>
        <w:spacing w:line="360" w:lineRule="auto"/>
        <w:widowControl w:val="off"/>
        <w:rPr>
          <w:rFonts w:hint="eastAsia" w:ascii="Times New Roman" w:hAnsi="Times New Roman" w:eastAsia="宋体" w:cs="Times New Roman"/>
          <w:b/>
          <w:sz w:val="24"/>
          <w:szCs w:val="24"/>
          <w:highlight w:val="none"/>
          <w:lang w:val="en-US" w:eastAsia="zh-CN" w:bidi="ar-SA"/>
        </w:rPr>
      </w:pPr>
      <w:r>
        <w:rPr>
          <w:rFonts w:hint="eastAsia" w:ascii="Times New Roman" w:hAnsi="Times New Roman" w:eastAsia="宋体" w:cs="Times New Roman"/>
          <w:b/>
          <w:sz w:val="24"/>
          <w:szCs w:val="24"/>
          <w:highlight w:val="none"/>
          <w:lang w:val="en-US" w:eastAsia="zh-CN" w:bidi="ar-SA"/>
        </w:rPr>
        <w:t xml:space="preserve">人员配置表</w:t>
      </w:r>
      <w:r/>
    </w:p>
    <w:tbl>
      <w:tblPr>
        <w:tblStyle w:val="855"/>
        <w:tblW w:w="4820" w:type="pct"/>
        <w:tblInd w:w="0" w:type="dxa"/>
        <w:tblLayout w:type="autofit"/>
        <w:tblCellMar>
          <w:left w:w="108" w:type="dxa"/>
          <w:top w:w="0" w:type="dxa"/>
          <w:right w:w="108" w:type="dxa"/>
          <w:bottom w:w="0" w:type="dxa"/>
        </w:tblCellMar>
        <w:tblLook w:val="04A0" w:firstRow="1" w:lastRow="0" w:firstColumn="1" w:lastColumn="0" w:noHBand="0" w:noVBand="1"/>
      </w:tblPr>
      <w:tblGrid>
        <w:gridCol w:w="6359"/>
        <w:gridCol w:w="1857"/>
      </w:tblGrid>
      <w:tr>
        <w:trPr>
          <w:trHeight w:val="373"/>
        </w:trPr>
        <w:tc>
          <w:tcPr>
            <w:tcBorders>
              <w:top w:val="single" w:color="000000" w:sz="4" w:space="0"/>
              <w:left w:val="single" w:color="000000" w:sz="4" w:space="0"/>
              <w:bottom w:val="single" w:color="000000" w:sz="4" w:space="0"/>
              <w:right w:val="single" w:color="000000" w:sz="4" w:space="0"/>
            </w:tcBorders>
            <w:tcW w:w="3869" w:type="pct"/>
            <w:vAlign w:val="center"/>
            <w:textDirection w:val="lrTb"/>
            <w:noWrap w:val="false"/>
          </w:tcPr>
          <w:p>
            <w:pPr>
              <w:numPr>
                <w:ilvl w:val="0"/>
                <w:numId w:val="0"/>
              </w:numPr>
              <w:contextualSpacing/>
              <w:ind w:firstLine="480"/>
              <w:jc w:val="center"/>
              <w:spacing w:line="360" w:lineRule="auto"/>
              <w:rPr>
                <w:rFonts w:hint="eastAsia" w:ascii="Times New Roman" w:hAnsi="Times New Roman" w:eastAsia="宋体" w:cs="Times New Roman"/>
                <w:sz w:val="24"/>
                <w:highlight w:val="none"/>
                <w:lang w:eastAsia="zh-CN"/>
              </w:rPr>
            </w:pPr>
            <w:r>
              <w:rPr>
                <w:rFonts w:hint="eastAsia" w:cs="Times New Roman"/>
                <w:sz w:val="24"/>
                <w:highlight w:val="none"/>
                <w:lang w:val="en-US" w:eastAsia="zh-CN"/>
              </w:rPr>
              <w:t xml:space="preserve">采购包1</w:t>
            </w:r>
            <w:r>
              <w:rPr>
                <w:rFonts w:hint="eastAsia" w:eastAsia="宋体" w:cs="Times New Roman"/>
                <w:sz w:val="24"/>
                <w:highlight w:val="none"/>
                <w:lang w:val="en-US" w:eastAsia="zh-CN"/>
              </w:rPr>
              <w:t xml:space="preserve">：</w:t>
            </w:r>
            <w:r>
              <w:rPr>
                <w:rFonts w:hint="eastAsia" w:ascii="Times New Roman" w:hAnsi="Times New Roman" w:eastAsia="宋体" w:cs="Times New Roman"/>
                <w:sz w:val="24"/>
                <w:highlight w:val="none"/>
                <w:lang w:eastAsia="zh-CN"/>
              </w:rPr>
              <w:t xml:space="preserve">最低作业人数（人）</w:t>
            </w:r>
            <w:r/>
          </w:p>
        </w:tc>
        <w:tc>
          <w:tcPr>
            <w:tcBorders>
              <w:top w:val="single" w:color="000000" w:sz="4" w:space="0"/>
              <w:left w:val="single" w:color="000000" w:sz="4" w:space="0"/>
              <w:bottom w:val="single" w:color="000000" w:sz="4" w:space="0"/>
              <w:right w:val="single" w:color="000000" w:sz="4" w:space="0"/>
            </w:tcBorders>
            <w:tcW w:w="1130" w:type="pct"/>
            <w:vAlign w:val="center"/>
            <w:vMerge w:val="restart"/>
            <w:textDirection w:val="lrTb"/>
            <w:noWrap w:val="false"/>
          </w:tcPr>
          <w:p>
            <w:pPr>
              <w:numPr>
                <w:ilvl w:val="0"/>
                <w:numId w:val="0"/>
              </w:numPr>
              <w:contextualSpacing/>
              <w:jc w:val="center"/>
              <w:spacing w:line="360" w:lineRule="auto"/>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eastAsia="zh-CN"/>
              </w:rPr>
              <w:t xml:space="preserve">管理员（人）</w:t>
            </w:r>
            <w:r/>
          </w:p>
        </w:tc>
      </w:tr>
      <w:tr>
        <w:trPr>
          <w:trHeight w:val="438"/>
        </w:trPr>
        <w:tc>
          <w:tcPr>
            <w:tcBorders>
              <w:top w:val="single" w:color="000000" w:sz="4" w:space="0"/>
              <w:left w:val="single" w:color="000000" w:sz="4" w:space="0"/>
              <w:bottom w:val="single" w:color="000000" w:sz="4" w:space="0"/>
              <w:right w:val="single" w:color="000000" w:sz="4" w:space="0"/>
            </w:tcBorders>
            <w:tcW w:w="3869" w:type="pct"/>
            <w:vAlign w:val="center"/>
            <w:textDirection w:val="lrTb"/>
            <w:noWrap w:val="false"/>
          </w:tcPr>
          <w:p>
            <w:pPr>
              <w:numPr>
                <w:ilvl w:val="0"/>
                <w:numId w:val="0"/>
              </w:numPr>
              <w:contextualSpacing/>
              <w:ind w:firstLine="480"/>
              <w:jc w:val="center"/>
              <w:spacing w:line="360" w:lineRule="auto"/>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val="en-US" w:eastAsia="zh-CN"/>
              </w:rPr>
              <w:t xml:space="preserve">保洁员</w:t>
            </w:r>
            <w:r/>
          </w:p>
        </w:tc>
        <w:tc>
          <w:tcPr>
            <w:tcBorders>
              <w:top w:val="single" w:color="000000" w:sz="4" w:space="0"/>
              <w:left w:val="single" w:color="000000" w:sz="4" w:space="0"/>
              <w:bottom w:val="single" w:color="000000" w:sz="4" w:space="0"/>
              <w:right w:val="single" w:color="000000" w:sz="4" w:space="0"/>
            </w:tcBorders>
            <w:tcW w:w="1130" w:type="pct"/>
            <w:vAlign w:val="center"/>
            <w:vMerge w:val="continue"/>
            <w:textDirection w:val="lrTb"/>
            <w:noWrap w:val="false"/>
          </w:tcPr>
          <w:p>
            <w:pPr>
              <w:numPr>
                <w:ilvl w:val="0"/>
                <w:numId w:val="0"/>
              </w:numPr>
              <w:contextualSpacing/>
              <w:ind w:firstLine="480"/>
              <w:jc w:val="center"/>
              <w:spacing w:line="360" w:lineRule="auto"/>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eastAsia="zh-CN"/>
              </w:rPr>
            </w:r>
            <w:r/>
          </w:p>
        </w:tc>
      </w:tr>
      <w:tr>
        <w:trPr>
          <w:trHeight w:val="365"/>
        </w:trPr>
        <w:tc>
          <w:tcPr>
            <w:tcBorders>
              <w:top w:val="single" w:color="000000" w:sz="4" w:space="0"/>
              <w:left w:val="single" w:color="000000" w:sz="4" w:space="0"/>
              <w:bottom w:val="single" w:color="000000" w:sz="4" w:space="0"/>
              <w:right w:val="single" w:color="000000" w:sz="4" w:space="0"/>
            </w:tcBorders>
            <w:tcW w:w="3869" w:type="pct"/>
            <w:vAlign w:val="center"/>
            <w:textDirection w:val="lrTb"/>
            <w:noWrap w:val="false"/>
          </w:tcPr>
          <w:p>
            <w:pPr>
              <w:numPr>
                <w:ilvl w:val="0"/>
                <w:numId w:val="0"/>
              </w:numPr>
              <w:contextualSpacing/>
              <w:ind w:firstLine="480"/>
              <w:jc w:val="center"/>
              <w:spacing w:line="360" w:lineRule="auto"/>
              <w:rPr>
                <w:rFonts w:hint="default" w:ascii="Times New Roman" w:hAnsi="Times New Roman" w:eastAsia="宋体" w:cs="Times New Roman"/>
                <w:sz w:val="24"/>
                <w:highlight w:val="none"/>
                <w:lang w:val="en-US" w:eastAsia="zh-CN"/>
              </w:rPr>
            </w:pPr>
            <w:r>
              <w:rPr>
                <w:rFonts w:hint="eastAsia" w:cs="Times New Roman"/>
                <w:sz w:val="24"/>
                <w:highlight w:val="none"/>
                <w:lang w:val="en-US" w:eastAsia="zh-CN"/>
              </w:rPr>
              <w:t xml:space="preserve">19</w:t>
            </w:r>
            <w:r/>
          </w:p>
        </w:tc>
        <w:tc>
          <w:tcPr>
            <w:tcBorders>
              <w:top w:val="single" w:color="000000" w:sz="4" w:space="0"/>
              <w:left w:val="single" w:color="000000" w:sz="4" w:space="0"/>
              <w:bottom w:val="single" w:color="000000" w:sz="4" w:space="0"/>
              <w:right w:val="single" w:color="000000" w:sz="4" w:space="0"/>
            </w:tcBorders>
            <w:tcW w:w="1130" w:type="pct"/>
            <w:vAlign w:val="center"/>
            <w:textDirection w:val="lrTb"/>
            <w:noWrap w:val="false"/>
          </w:tcPr>
          <w:p>
            <w:pPr>
              <w:numPr>
                <w:ilvl w:val="0"/>
                <w:numId w:val="0"/>
              </w:numPr>
              <w:contextualSpacing/>
              <w:ind w:firstLine="480"/>
              <w:jc w:val="center"/>
              <w:spacing w:line="360" w:lineRule="auto"/>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val="en-US" w:eastAsia="zh-CN"/>
              </w:rPr>
              <w:t xml:space="preserve">1</w:t>
            </w:r>
            <w:r/>
          </w:p>
        </w:tc>
      </w:tr>
    </w:tbl>
    <w:p>
      <w:pPr>
        <w:pStyle w:val="846"/>
        <w:rPr>
          <w:rFonts w:hint="eastAsia"/>
          <w:highlight w:val="none"/>
        </w:rPr>
      </w:pPr>
      <w:r>
        <w:rPr>
          <w:rFonts w:hint="eastAsia"/>
          <w:highlight w:val="none"/>
        </w:rPr>
      </w:r>
      <w:r/>
    </w:p>
    <w:p>
      <w:pPr>
        <w:contextualSpacing/>
        <w:ind w:left="0" w:firstLine="0"/>
        <w:jc w:val="both"/>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tbl>
      <w:tblPr>
        <w:tblStyle w:val="855"/>
        <w:tblW w:w="4818" w:type="pct"/>
        <w:tblInd w:w="0" w:type="dxa"/>
        <w:tblLayout w:type="autofit"/>
        <w:tblCellMar>
          <w:left w:w="108" w:type="dxa"/>
          <w:top w:w="0" w:type="dxa"/>
          <w:right w:w="108" w:type="dxa"/>
          <w:bottom w:w="0" w:type="dxa"/>
        </w:tblCellMar>
        <w:tblLook w:val="04A0" w:firstRow="1" w:lastRow="0" w:firstColumn="1" w:lastColumn="0" w:noHBand="0" w:noVBand="1"/>
      </w:tblPr>
      <w:tblGrid>
        <w:gridCol w:w="6356"/>
        <w:gridCol w:w="1857"/>
      </w:tblGrid>
      <w:tr>
        <w:trPr>
          <w:trHeight w:val="373"/>
        </w:trPr>
        <w:tc>
          <w:tcPr>
            <w:tcBorders>
              <w:top w:val="single" w:color="000000" w:sz="4" w:space="0"/>
              <w:left w:val="single" w:color="000000" w:sz="4" w:space="0"/>
              <w:bottom w:val="single" w:color="000000" w:sz="4" w:space="0"/>
              <w:right w:val="single" w:color="000000" w:sz="4" w:space="0"/>
            </w:tcBorders>
            <w:tcW w:w="3869"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cs="Times New Roman"/>
                <w:sz w:val="24"/>
                <w:highlight w:val="none"/>
                <w:lang w:val="en-US" w:eastAsia="zh-CN"/>
              </w:rPr>
              <w:t xml:space="preserve">采购包2</w:t>
            </w:r>
            <w:r>
              <w:rPr>
                <w:rFonts w:hint="eastAsia" w:eastAsia="宋体" w:cs="Times New Roman"/>
                <w:sz w:val="24"/>
                <w:highlight w:val="none"/>
                <w:lang w:val="en-US" w:eastAsia="zh-CN"/>
              </w:rPr>
              <w:t xml:space="preserve">：</w:t>
            </w:r>
            <w:r>
              <w:rPr>
                <w:rFonts w:hint="eastAsia" w:ascii="宋体" w:hAnsi="宋体" w:eastAsia="宋体" w:cs="宋体"/>
                <w:color w:val="000000"/>
                <w:sz w:val="24"/>
                <w:szCs w:val="24"/>
                <w:highlight w:val="none"/>
              </w:rPr>
              <w:t xml:space="preserve">最低作业人数（人）</w:t>
            </w:r>
            <w:r/>
          </w:p>
        </w:tc>
        <w:tc>
          <w:tcPr>
            <w:tcBorders>
              <w:top w:val="single" w:color="000000" w:sz="4" w:space="0"/>
              <w:left w:val="single" w:color="000000" w:sz="4" w:space="0"/>
              <w:bottom w:val="single" w:color="000000" w:sz="4" w:space="0"/>
              <w:right w:val="single" w:color="000000" w:sz="4" w:space="0"/>
            </w:tcBorders>
            <w:tcW w:w="1130"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管理员（人）</w:t>
            </w:r>
            <w:r/>
          </w:p>
        </w:tc>
      </w:tr>
      <w:tr>
        <w:trPr>
          <w:trHeight w:val="440"/>
        </w:trPr>
        <w:tc>
          <w:tcPr>
            <w:tcBorders>
              <w:top w:val="single" w:color="000000" w:sz="4" w:space="0"/>
              <w:left w:val="single" w:color="000000" w:sz="4" w:space="0"/>
              <w:bottom w:val="single" w:color="000000" w:sz="4" w:space="0"/>
              <w:right w:val="single" w:color="000000" w:sz="4" w:space="0"/>
            </w:tcBorders>
            <w:tcW w:w="3869"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保洁员</w:t>
            </w:r>
            <w:r/>
          </w:p>
        </w:tc>
        <w:tc>
          <w:tcPr>
            <w:tcBorders>
              <w:top w:val="single" w:color="000000" w:sz="4" w:space="0"/>
              <w:left w:val="single" w:color="000000" w:sz="4" w:space="0"/>
              <w:bottom w:val="single" w:color="000000" w:sz="4" w:space="0"/>
              <w:right w:val="single" w:color="000000" w:sz="4" w:space="0"/>
            </w:tcBorders>
            <w:tcW w:w="1130"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5"/>
        </w:trPr>
        <w:tc>
          <w:tcPr>
            <w:tcBorders>
              <w:top w:val="single" w:color="000000" w:sz="4" w:space="0"/>
              <w:left w:val="single" w:color="000000" w:sz="4" w:space="0"/>
              <w:bottom w:val="single" w:color="000000" w:sz="4" w:space="0"/>
              <w:right w:val="single" w:color="000000" w:sz="4" w:space="0"/>
            </w:tcBorders>
            <w:tcW w:w="3869"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1130" w:type="pct"/>
            <w:vAlign w:val="center"/>
            <w:textDirection w:val="lrTb"/>
            <w:noWrap w:val="false"/>
          </w:tcPr>
          <w:p>
            <w:pPr>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p>
        </w:tc>
      </w:tr>
    </w:tbl>
    <w:p>
      <w:pPr>
        <w:contextualSpacing/>
        <w:ind w:left="0" w:firstLine="0"/>
        <w:jc w:val="both"/>
        <w:spacing w:line="360" w:lineRule="auto"/>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r>
      <w:r/>
    </w:p>
    <w:p>
      <w:pPr>
        <w:contextualSpacing/>
        <w:ind w:left="0" w:firstLine="0"/>
        <w:jc w:val="both"/>
        <w:spacing w:line="360" w:lineRule="auto"/>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r>
      <w:r/>
    </w:p>
    <w:p>
      <w:pPr>
        <w:contextualSpacing/>
        <w:ind w:left="0" w:firstLine="0"/>
        <w:jc w:val="both"/>
        <w:spacing w:line="360" w:lineRule="auto"/>
        <w:widowControl w:val="off"/>
        <w:rPr>
          <w:rFonts w:hint="default"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四、服务要求</w:t>
      </w:r>
      <w:r/>
    </w:p>
    <w:p>
      <w:pPr>
        <w:jc w:val="center"/>
        <w:spacing w:line="440" w:lineRule="exact"/>
        <w:rPr>
          <w:rFonts w:hint="eastAsia" w:ascii="宋体" w:hAnsi="宋体" w:eastAsia="宋体" w:cs="宋体"/>
          <w:b/>
          <w:sz w:val="24"/>
          <w:szCs w:val="24"/>
        </w:rPr>
      </w:pPr>
      <w:r>
        <w:rPr>
          <w:rFonts w:hint="eastAsia" w:ascii="宋体" w:hAnsi="宋体" w:eastAsia="宋体" w:cs="宋体"/>
          <w:b/>
          <w:sz w:val="24"/>
          <w:szCs w:val="24"/>
        </w:rPr>
        <w:t xml:space="preserve">上兴镇环卫作业服务要求</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投标人应具有健全的日常清扫保洁制度、乱张贴清除制度、环卫设施清洗保洁制度、公厕保洁制度、人员管理制度、应急处理制度、自检自查制度。如遇突发事件，采购人有权调用中标人人员和车辆参与应急。作业服务须达到队伍整齐规范、机械设备齐全状态优良、质量优质高效、环境整洁优美的基本要求。</w:t>
      </w:r>
      <w:r/>
    </w:p>
    <w:p>
      <w:pPr>
        <w:ind w:firstLine="487"/>
        <w:spacing w:line="360" w:lineRule="exact"/>
        <w:tabs>
          <w:tab w:val="left" w:pos="0" w:leader="none"/>
          <w:tab w:val="left" w:pos="709" w:leader="none"/>
        </w:tabs>
        <w:rPr>
          <w:rFonts w:hint="eastAsia" w:ascii="宋体" w:hAnsi="宋体" w:eastAsia="宋体" w:cs="宋体"/>
          <w:b/>
          <w:bCs/>
          <w:sz w:val="24"/>
          <w:szCs w:val="24"/>
        </w:rPr>
      </w:pPr>
      <w:r>
        <w:rPr>
          <w:rFonts w:hint="eastAsia" w:ascii="宋体" w:hAnsi="宋体" w:eastAsia="宋体" w:cs="宋体"/>
          <w:b/>
          <w:bCs/>
          <w:sz w:val="24"/>
          <w:szCs w:val="24"/>
        </w:rPr>
        <w:t xml:space="preserve">1.道路人工清扫保洁作业要求</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1）一级道路实行12小时保洁制度（5：00-17：00），其余等级道路实行8小时保洁制度（上午5:30-10:30，下午13:30-16:30）。所有道路每天早上七点前完成一次普扫，其余时段巡回保洁。巡回保洁采用定人定岗巡回保洁与快速巡回保洁相结合的模式。遇重大检查时作业方式按采购人的要求执行；高温季节作业时间由采购人另行通知。</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2）道路清扫应做到“五无五净”，即：无垃圾杂物、无积尘积水、无烟头纸屑、无泼撒污物、无砖石杂草，路面净、边角侧石净、窨井泉眼净、道路隔离设施底部净、环卫设施周边净。道路清扫无死角，无断扫、漏扫，垃圾无漏收，作业区域交界处、清扫道路与背街小巷交接处应扫过3米以上。</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（3）道路保洁应快速及时，巡回不间断，确保路面及垃圾桶、果壳箱周边干净整洁。白色污染及暴露垃圾滞留时间，一、二级道路不得超过20分钟，其余等级道路不得超过30分钟。</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（4）下雨天应及时清扫路沟边、隔离栏下泥沙，保持雨水口畅通。降雪天气应及时组织铲雪作业。道路融雪后，路面杂物、垃圾应及时清扫干净。</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（5）清扫、保洁后的垃圾应及时收集，按指定方式、指定地点倾倒，不得倒入绿化带或果壳箱内，不得焚烧垃圾、树叶。</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（6）因天气或其他特殊原因，机扫车不能作业时，应及时安排人员做好机扫车作业区域的人工清扫工作。</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7）保洁车辆应密闭完好，每周清洗一次，保持干净整洁，无乱堆乱挂乱张贴。作业时保洁车应紧靠路沿侧石停放，不得影响交通和有碍观瞻。作业完毕，扫帚、畚箕等作业工具应统一放入保洁车内，在指定位置停放。</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（8）非机动车应按规定排放在非机动车停放区域；排放应头尾一致，排放整齐；不得占用盲道。</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（9）工作期间，无打堆、串岗、离岗、久坐、闲聊等现象，不得捡拾废品，不做与工作无关的事。</w:t>
      </w:r>
      <w:r/>
    </w:p>
    <w:p>
      <w:pPr>
        <w:ind w:firstLine="482"/>
        <w:rPr>
          <w:rFonts w:hint="eastAsia" w:ascii="宋体" w:hAnsi="宋体" w:eastAsia="宋体" w:cs="宋体"/>
          <w:b/>
          <w:bCs/>
          <w:sz w:val="24"/>
          <w:szCs w:val="24"/>
        </w:rPr>
      </w:pPr>
      <w:r>
        <w:rPr>
          <w:rFonts w:hint="eastAsia" w:ascii="宋体" w:hAnsi="宋体" w:eastAsia="宋体" w:cs="宋体"/>
          <w:b/>
          <w:bCs/>
          <w:sz w:val="24"/>
          <w:szCs w:val="24"/>
        </w:rPr>
        <w:t xml:space="preserve">2.道路机械化清扫保洁作业要求</w:t>
      </w:r>
      <w:r/>
    </w:p>
    <w:p>
      <w:pPr>
        <w:ind w:firstLine="480"/>
        <w:spacing w:line="380" w:lineRule="exact"/>
        <w:rPr>
          <w:rFonts w:hint="eastAsia" w:ascii="宋体" w:hAnsi="宋体" w:eastAsia="宋体" w:cs="宋体"/>
          <w:sz w:val="24"/>
          <w:szCs w:val="24"/>
        </w:rPr>
      </w:pPr>
      <w:r>
        <w:rPr>
          <w:rFonts w:hint="eastAsia" w:ascii="宋体" w:hAnsi="宋体" w:eastAsia="宋体" w:cs="宋体"/>
          <w:sz w:val="24"/>
          <w:szCs w:val="24"/>
        </w:rPr>
        <w:t xml:space="preserve">2.1作业时间安排：</w:t>
      </w:r>
      <w:r/>
    </w:p>
    <w:p>
      <w:pPr>
        <w:ind w:firstLine="480"/>
        <w:spacing w:line="380" w:lineRule="exact"/>
        <w:rPr>
          <w:rFonts w:hint="eastAsia" w:ascii="宋体" w:hAnsi="宋体" w:eastAsia="宋体" w:cs="宋体"/>
          <w:sz w:val="24"/>
          <w:szCs w:val="24"/>
        </w:rPr>
      </w:pPr>
      <w:r>
        <w:rPr>
          <w:rFonts w:hint="eastAsia" w:ascii="宋体" w:hAnsi="宋体" w:eastAsia="宋体" w:cs="宋体"/>
          <w:sz w:val="24"/>
          <w:szCs w:val="24"/>
        </w:rPr>
        <w:t xml:space="preserve">①市政道路环卫机械化作业应充分考虑道路交通状况，日间安排机械化洒水作业，夜间安排机械化清扫作业和冲洗作业，机械化清洗作业可根据实际情况和需要安排在日间或夜间进行。</w:t>
      </w:r>
      <w:r/>
    </w:p>
    <w:p>
      <w:pPr>
        <w:ind w:firstLine="480"/>
        <w:spacing w:line="380" w:lineRule="exact"/>
        <w:rPr>
          <w:rFonts w:hint="eastAsia" w:ascii="宋体" w:hAnsi="宋体" w:eastAsia="宋体" w:cs="宋体"/>
          <w:sz w:val="24"/>
          <w:szCs w:val="24"/>
        </w:rPr>
      </w:pPr>
      <w:r>
        <w:rPr>
          <w:rFonts w:hint="eastAsia" w:ascii="宋体" w:hAnsi="宋体" w:eastAsia="宋体" w:cs="宋体"/>
          <w:sz w:val="24"/>
          <w:szCs w:val="24"/>
        </w:rPr>
        <w:t xml:space="preserve">②每日20:00开始组织冲洗作业，并依次组织清扫和清洗作业（也可安排日间作业），至次日上午8:00前全部撤离作业路段；洒水季节组织车辆在8:00—17:00作业。非核心区域路段的各项作业和一级道路每日的第2次机械化清扫作业，在确保回避交通高峰的情况下，作业时间可根据需要自行组织。</w:t>
      </w:r>
      <w:r/>
    </w:p>
    <w:p>
      <w:pPr>
        <w:ind w:firstLine="480"/>
        <w:spacing w:line="380" w:lineRule="exact"/>
        <w:rPr>
          <w:rFonts w:hint="eastAsia" w:ascii="宋体" w:hAnsi="宋体" w:eastAsia="宋体" w:cs="宋体"/>
          <w:sz w:val="24"/>
          <w:szCs w:val="24"/>
        </w:rPr>
      </w:pPr>
      <w:r>
        <w:rPr>
          <w:rFonts w:hint="eastAsia" w:ascii="宋体" w:hAnsi="宋体" w:eastAsia="宋体" w:cs="宋体"/>
          <w:sz w:val="24"/>
          <w:szCs w:val="24"/>
        </w:rPr>
        <w:t xml:space="preserve">③当气温≤5℃时，洒水作业应暂停，桥面、坡道的冲洗及清洗作业应暂停；当气温≤2℃时，必须停止全部冲洗及清洗作业，同时道路清扫全部采用干扫（不喷水）作业方式。</w:t>
      </w:r>
      <w:r/>
    </w:p>
    <w:p>
      <w:pPr>
        <w:ind w:firstLine="480"/>
        <w:spacing w:line="380" w:lineRule="exact"/>
        <w:rPr>
          <w:rFonts w:hint="eastAsia" w:ascii="宋体" w:hAnsi="宋体" w:eastAsia="宋体" w:cs="宋体"/>
          <w:sz w:val="24"/>
          <w:szCs w:val="24"/>
        </w:rPr>
      </w:pPr>
      <w:r>
        <w:rPr>
          <w:rFonts w:hint="eastAsia" w:ascii="宋体" w:hAnsi="宋体" w:eastAsia="宋体" w:cs="宋体"/>
          <w:sz w:val="24"/>
          <w:szCs w:val="24"/>
        </w:rPr>
        <w:t xml:space="preserve">2.2作业行驶要求： </w:t>
      </w:r>
      <w:r/>
    </w:p>
    <w:p>
      <w:pPr>
        <w:ind w:firstLine="480"/>
        <w:spacing w:line="380" w:lineRule="exact"/>
        <w:rPr>
          <w:rFonts w:hint="eastAsia" w:ascii="宋体" w:hAnsi="宋体" w:eastAsia="宋体" w:cs="宋体"/>
          <w:sz w:val="24"/>
          <w:szCs w:val="24"/>
        </w:rPr>
      </w:pPr>
      <w:r>
        <w:rPr>
          <w:rFonts w:hint="eastAsia" w:ascii="宋体" w:hAnsi="宋体" w:eastAsia="宋体" w:cs="宋体"/>
          <w:sz w:val="24"/>
          <w:szCs w:val="24"/>
        </w:rPr>
        <w:t xml:space="preserve">①清扫作业时选用一挡，行驶速度不超过15公里/小时，副机转速不超过2000转/分，应严格按照放刷、喷水、调整箱体压力和刷盘转速、清扫的顺序进行操作；非特殊气候情况下，避免“干扫”；作业时禁止扫刷、吸嘴不落地；</w:t>
      </w:r>
      <w:r/>
    </w:p>
    <w:p>
      <w:pPr>
        <w:ind w:firstLine="480"/>
        <w:spacing w:line="380" w:lineRule="exact"/>
        <w:rPr>
          <w:rFonts w:hint="eastAsia" w:ascii="宋体" w:hAnsi="宋体" w:eastAsia="宋体" w:cs="宋体"/>
          <w:sz w:val="24"/>
          <w:szCs w:val="24"/>
        </w:rPr>
      </w:pPr>
      <w:r>
        <w:rPr>
          <w:rFonts w:hint="eastAsia" w:ascii="宋体" w:hAnsi="宋体" w:eastAsia="宋体" w:cs="宋体"/>
          <w:sz w:val="24"/>
          <w:szCs w:val="24"/>
        </w:rPr>
        <w:t xml:space="preserve">②冲洗作业时控制车速为15公里/小时，冲洗压力≥300千帕，洒水量0.2～2.0升/平方米，喷水口喷水有力，不得出现断续喷水的现象；</w:t>
      </w:r>
      <w:r/>
    </w:p>
    <w:p>
      <w:pPr>
        <w:ind w:firstLine="480"/>
        <w:spacing w:line="380" w:lineRule="exact"/>
        <w:rPr>
          <w:rFonts w:hint="eastAsia" w:ascii="宋体" w:hAnsi="宋体" w:eastAsia="宋体" w:cs="宋体"/>
          <w:sz w:val="24"/>
          <w:szCs w:val="24"/>
        </w:rPr>
      </w:pPr>
      <w:r>
        <w:rPr>
          <w:rFonts w:hint="eastAsia" w:ascii="宋体" w:hAnsi="宋体" w:eastAsia="宋体" w:cs="宋体"/>
          <w:sz w:val="24"/>
          <w:szCs w:val="24"/>
        </w:rPr>
        <w:t xml:space="preserve">③洒水作业时控制车速不超过20公里/小时，喷水口喷水有力，不得出现断续喷水的现象，洒水作业应覆盖道路的所有机动车道，不得漏洒，作业后路面无干燥路段和片区；</w:t>
      </w:r>
      <w:r/>
    </w:p>
    <w:p>
      <w:pPr>
        <w:ind w:firstLine="480"/>
        <w:spacing w:line="380" w:lineRule="exact"/>
        <w:rPr>
          <w:rFonts w:hint="eastAsia" w:ascii="宋体" w:hAnsi="宋体" w:eastAsia="宋体" w:cs="宋体"/>
          <w:sz w:val="24"/>
          <w:szCs w:val="24"/>
        </w:rPr>
      </w:pPr>
      <w:r>
        <w:rPr>
          <w:rFonts w:hint="eastAsia" w:ascii="宋体" w:hAnsi="宋体" w:eastAsia="宋体" w:cs="宋体"/>
          <w:sz w:val="24"/>
          <w:szCs w:val="24"/>
        </w:rPr>
        <w:t xml:space="preserve">④清洗作业车速不超过10公里/小时，副发动机转速控制在1800转/分（正常档），路面较脏时，副发动机转速控制在2200转/分（强洗档），并应开双侧吸嘴喷杆喷水。</w:t>
      </w:r>
      <w:r/>
    </w:p>
    <w:p>
      <w:pPr>
        <w:ind w:firstLine="480"/>
        <w:spacing w:line="380" w:lineRule="exact"/>
        <w:rPr>
          <w:rFonts w:hint="eastAsia" w:ascii="宋体" w:hAnsi="宋体" w:eastAsia="宋体" w:cs="宋体"/>
          <w:sz w:val="24"/>
          <w:szCs w:val="24"/>
        </w:rPr>
      </w:pPr>
      <w:r>
        <w:rPr>
          <w:rFonts w:hint="eastAsia" w:ascii="宋体" w:hAnsi="宋体" w:eastAsia="宋体" w:cs="宋体"/>
          <w:sz w:val="24"/>
          <w:szCs w:val="24"/>
        </w:rPr>
        <w:t xml:space="preserve">⑤作业时须开启警示灯和示宽灯，夜间禁鸣，洒水作业日间必须播放提示音乐。</w:t>
      </w:r>
      <w:r/>
    </w:p>
    <w:p>
      <w:pPr>
        <w:ind w:firstLine="480"/>
        <w:spacing w:line="380" w:lineRule="exact"/>
        <w:rPr>
          <w:rFonts w:hint="eastAsia" w:ascii="宋体" w:hAnsi="宋体" w:eastAsia="宋体" w:cs="宋体"/>
          <w:sz w:val="24"/>
          <w:szCs w:val="24"/>
        </w:rPr>
      </w:pPr>
      <w:r>
        <w:rPr>
          <w:rFonts w:hint="eastAsia" w:ascii="宋体" w:hAnsi="宋体" w:eastAsia="宋体" w:cs="宋体"/>
          <w:sz w:val="24"/>
          <w:szCs w:val="24"/>
        </w:rPr>
        <w:t xml:space="preserve">⑥所有机械化作业必须双侧同时开启，严禁单边作业（除特殊情况下的冲洗作业）。</w:t>
      </w:r>
      <w:r/>
    </w:p>
    <w:p>
      <w:pPr>
        <w:ind w:firstLine="480"/>
        <w:spacing w:line="380" w:lineRule="exact"/>
        <w:rPr>
          <w:rFonts w:hint="eastAsia" w:ascii="宋体" w:hAnsi="宋体" w:eastAsia="宋体" w:cs="宋体"/>
          <w:sz w:val="24"/>
          <w:szCs w:val="24"/>
        </w:rPr>
      </w:pPr>
      <w:r>
        <w:rPr>
          <w:rFonts w:hint="eastAsia" w:ascii="宋体" w:hAnsi="宋体" w:eastAsia="宋体" w:cs="宋体"/>
          <w:sz w:val="24"/>
          <w:szCs w:val="24"/>
        </w:rPr>
        <w:t xml:space="preserve">⑦作业人员必须按照规定的时间、线路、频次和作业模式作业；作业时应穿戴统一的、具有明显警示标识的工作服，并保持着装整洁。不得有滞留马路和加油加水超时等情况。</w:t>
      </w:r>
      <w:r/>
    </w:p>
    <w:p>
      <w:pPr>
        <w:ind w:firstLine="480"/>
        <w:spacing w:line="380" w:lineRule="exact"/>
        <w:rPr>
          <w:rFonts w:hint="eastAsia" w:ascii="宋体" w:hAnsi="宋体" w:eastAsia="宋体" w:cs="宋体"/>
          <w:sz w:val="24"/>
          <w:szCs w:val="24"/>
        </w:rPr>
      </w:pPr>
      <w:r>
        <w:rPr>
          <w:rFonts w:hint="eastAsia" w:ascii="宋体" w:hAnsi="宋体" w:eastAsia="宋体" w:cs="宋体"/>
          <w:sz w:val="24"/>
          <w:szCs w:val="24"/>
        </w:rPr>
        <w:t xml:space="preserve">2.3机械化作业车辆容貌要求：</w:t>
      </w:r>
      <w:r/>
    </w:p>
    <w:p>
      <w:pPr>
        <w:ind w:firstLine="480"/>
        <w:spacing w:line="380" w:lineRule="exact"/>
        <w:rPr>
          <w:rFonts w:hint="eastAsia" w:ascii="宋体" w:hAnsi="宋体" w:eastAsia="宋体" w:cs="宋体"/>
          <w:sz w:val="24"/>
          <w:szCs w:val="24"/>
        </w:rPr>
      </w:pPr>
      <w:r>
        <w:rPr>
          <w:rFonts w:hint="eastAsia" w:ascii="宋体" w:hAnsi="宋体" w:eastAsia="宋体" w:cs="宋体"/>
          <w:sz w:val="24"/>
          <w:szCs w:val="24"/>
        </w:rPr>
        <w:t xml:space="preserve">①车体整洁明亮、各种配件齐全、使用功能齐备，各项作业装置保持完好、有效。车身如有宣传标贴，须保持清洁完整。</w:t>
      </w:r>
      <w:r/>
    </w:p>
    <w:p>
      <w:pPr>
        <w:ind w:firstLine="480"/>
        <w:spacing w:line="380" w:lineRule="exact"/>
        <w:rPr>
          <w:rFonts w:hint="eastAsia" w:ascii="宋体" w:hAnsi="宋体" w:eastAsia="宋体" w:cs="宋体"/>
          <w:sz w:val="24"/>
          <w:szCs w:val="24"/>
        </w:rPr>
      </w:pPr>
      <w:r>
        <w:rPr>
          <w:rFonts w:hint="eastAsia" w:ascii="宋体" w:hAnsi="宋体" w:eastAsia="宋体" w:cs="宋体"/>
          <w:sz w:val="24"/>
          <w:szCs w:val="24"/>
        </w:rPr>
        <w:t xml:space="preserve">②应保持车牌及车身标志清晰、齐全，车体无破损、无锈蚀、无污物、无灰垢。车尾应有反光标志（或加贴反光膜）。车体杜绝吊挂、抛洒污物，滴漏水、油液体等现象。</w:t>
      </w:r>
      <w:r/>
    </w:p>
    <w:p>
      <w:pPr>
        <w:ind w:firstLine="480"/>
        <w:spacing w:line="380" w:lineRule="exact"/>
        <w:rPr>
          <w:rFonts w:hint="eastAsia" w:ascii="宋体" w:hAnsi="宋体" w:eastAsia="宋体" w:cs="宋体"/>
          <w:sz w:val="24"/>
          <w:szCs w:val="24"/>
        </w:rPr>
      </w:pPr>
      <w:r>
        <w:rPr>
          <w:rFonts w:hint="eastAsia" w:ascii="宋体" w:hAnsi="宋体" w:eastAsia="宋体" w:cs="宋体"/>
          <w:sz w:val="24"/>
          <w:szCs w:val="24"/>
        </w:rPr>
        <w:t xml:space="preserve">2.4调度和管理要求：</w:t>
      </w:r>
      <w:r/>
    </w:p>
    <w:p>
      <w:pPr>
        <w:ind w:firstLine="480"/>
        <w:spacing w:line="380" w:lineRule="exact"/>
        <w:rPr>
          <w:rFonts w:hint="eastAsia" w:ascii="宋体" w:hAnsi="宋体" w:eastAsia="宋体" w:cs="宋体"/>
          <w:sz w:val="24"/>
          <w:szCs w:val="24"/>
        </w:rPr>
      </w:pPr>
      <w:r>
        <w:rPr>
          <w:rFonts w:hint="eastAsia" w:ascii="宋体" w:hAnsi="宋体" w:eastAsia="宋体" w:cs="宋体"/>
          <w:sz w:val="24"/>
          <w:szCs w:val="24"/>
        </w:rPr>
        <w:t xml:space="preserve">①科学合理调配作业车辆分布比例及运行。每班作业应按规定填写出车日志，作业车辆应在规定地点取水、清洁污物箱。</w:t>
      </w:r>
      <w:r/>
    </w:p>
    <w:p>
      <w:pPr>
        <w:ind w:firstLine="480"/>
        <w:spacing w:line="380" w:lineRule="exact"/>
        <w:rPr>
          <w:rFonts w:hint="eastAsia" w:ascii="宋体" w:hAnsi="宋体" w:eastAsia="宋体" w:cs="宋体"/>
          <w:sz w:val="24"/>
          <w:szCs w:val="24"/>
        </w:rPr>
      </w:pPr>
      <w:r>
        <w:rPr>
          <w:rFonts w:hint="eastAsia" w:ascii="宋体" w:hAnsi="宋体" w:eastAsia="宋体" w:cs="宋体"/>
          <w:sz w:val="24"/>
          <w:szCs w:val="24"/>
        </w:rPr>
        <w:t xml:space="preserve">②建立健全车辆维修、保养和检查制度，必须确保出车车况良好。</w:t>
      </w:r>
      <w:r/>
    </w:p>
    <w:p>
      <w:pPr>
        <w:ind w:firstLine="480"/>
        <w:spacing w:line="380" w:lineRule="exact"/>
        <w:rPr>
          <w:rFonts w:hint="eastAsia" w:ascii="宋体" w:hAnsi="宋体" w:eastAsia="宋体" w:cs="宋体"/>
          <w:sz w:val="24"/>
          <w:szCs w:val="24"/>
        </w:rPr>
      </w:pPr>
      <w:r>
        <w:rPr>
          <w:rFonts w:hint="eastAsia" w:ascii="宋体" w:hAnsi="宋体" w:eastAsia="宋体" w:cs="宋体"/>
          <w:sz w:val="24"/>
          <w:szCs w:val="24"/>
        </w:rPr>
        <w:t xml:space="preserve">③如遇死角、深沟、道路两侧行道树过低过近、垃圾杂物体积过长过大、落叶季节、窨井泉眼不畅通、有杂物或被堵塞等工况无法满足环卫机械化作业条件时，需组织人工配合作业。</w:t>
      </w:r>
      <w:r/>
    </w:p>
    <w:p>
      <w:pPr>
        <w:ind w:firstLine="487"/>
        <w:spacing w:line="360" w:lineRule="exact"/>
        <w:tabs>
          <w:tab w:val="left" w:pos="0" w:leader="none"/>
          <w:tab w:val="left" w:pos="709" w:leader="none"/>
        </w:tabs>
        <w:rPr>
          <w:rFonts w:hint="eastAsia" w:ascii="宋体" w:hAnsi="宋体" w:eastAsia="宋体" w:cs="宋体"/>
          <w:b/>
          <w:bCs/>
          <w:sz w:val="24"/>
          <w:szCs w:val="24"/>
        </w:rPr>
      </w:pPr>
      <w:r>
        <w:rPr>
          <w:rFonts w:hint="eastAsia" w:ascii="宋体" w:hAnsi="宋体" w:eastAsia="宋体" w:cs="宋体"/>
          <w:b/>
          <w:bCs/>
          <w:sz w:val="24"/>
          <w:szCs w:val="24"/>
        </w:rPr>
        <w:t xml:space="preserve">3.乱张贴清除作业要求</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（1）各保洁区域内的小广告、乱张贴、乱涂写应当天发现当天清除，存留时间不得超过6小时；对巡查过程中发现的小广告、乱张贴、乱涂写，必须在4小时内予以清除。</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2）墙砖、马赛克等硬质表面的涂写张贴，应采用油漆溶解剂或水浸、刮除等办法予以清除干净，不留痕迹；外表面为涂料的，应采用相同颜色或相近的涂料，整体有规则地予以同色覆盖，要求覆盖面横平竖直，不得歪斜；</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（3）在供电、邮电、广电、照明、交通等设施上的乱张贴应以清洗、铲除为主，如不能彻底清洗的才可以覆盖，且必须同色覆盖，尽量保持原貌；</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（4）乱张贴清理后的纸屑必须及时清理干净，做到工完场清。</w:t>
      </w:r>
      <w:r/>
    </w:p>
    <w:p>
      <w:pPr>
        <w:ind w:firstLine="487"/>
        <w:spacing w:line="360" w:lineRule="exact"/>
        <w:tabs>
          <w:tab w:val="left" w:pos="0" w:leader="none"/>
          <w:tab w:val="left" w:pos="709" w:leader="none"/>
        </w:tabs>
        <w:rPr>
          <w:rFonts w:hint="eastAsia" w:ascii="宋体" w:hAnsi="宋体" w:eastAsia="宋体" w:cs="宋体"/>
          <w:b/>
          <w:bCs/>
          <w:sz w:val="24"/>
          <w:szCs w:val="24"/>
        </w:rPr>
      </w:pPr>
      <w:r>
        <w:rPr>
          <w:rFonts w:hint="eastAsia" w:ascii="宋体" w:hAnsi="宋体" w:eastAsia="宋体" w:cs="宋体"/>
          <w:b/>
          <w:bCs/>
          <w:sz w:val="24"/>
          <w:szCs w:val="24"/>
        </w:rPr>
        <w:t xml:space="preserve">4.公共厕所保洁作业要求</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（1）公厕应本着方便市民的原则严格遵守开放时间。一般情况下，公厕不得停用，确因特殊情况需临时停用的，需摆放或张贴停用告示，告知市民。</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（2）保洁人员应礼貌待人，主动照顾老弱病残孕等人员；按时作业，作业时应在厕外设作业标志，在厕内不要干扰用厕者；作业完毕后清洗好保洁工具，并妥善保管，不得有碍厕容。</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（3）公厕保洁标准应符合下列规定：</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①实行每天二冲洗二保洁制度，上午7：30前完成第一遍冲洗，8：00—10：30巡回保洁；下午13：00—16：30完成第二遍冲洗及巡回保洁。</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②公厕内采光、照明和通风应良好，无明显臭味；墙面、天花板、门窗和隔离板应无积灰、污迹、蛛网，无乱涂乱画；公厕内外墙面应整洁，粉刷应无剥落；地面光洁，无积水。</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③座便器、蹲位应整洁，大便槽两侧应无粪便污物，槽内无积粪；小便槽(斗)应无水锈、尿垢、垃圾，基本无臭味；沟眼、管道保持畅通。</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④公厕内照明灯具、洗手器具、镜子、挂衣钩、烘手器、冲水设备等应完好，无积灰、污物。</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⑤公厕外环境应整洁，无杂物乱堆，保洁工具应放置整齐。公厕四周3—5米范围内，应无垃圾、粪便、污水等污物；无私搭乱建，无杂物，无乱挂、乱堆、乱放现象。</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⑥公厕标志齐全，公厕设有醒目标志牌，方便群众入厕；发现设施破损或遗失后应立即报修；公厕下水道堵塞时应于半天内疏通到位。</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⑦蝇蚊孳生季节应定时喷洒灭蚊蝇药物，有效控制蝇蛆孳生。</w:t>
      </w:r>
      <w:r/>
    </w:p>
    <w:p>
      <w:pPr>
        <w:ind w:firstLine="487"/>
        <w:spacing w:line="360" w:lineRule="exact"/>
        <w:tabs>
          <w:tab w:val="left" w:pos="0" w:leader="none"/>
          <w:tab w:val="left" w:pos="709" w:leader="none"/>
        </w:tabs>
        <w:rPr>
          <w:rFonts w:hint="eastAsia" w:ascii="宋体" w:hAnsi="宋体" w:eastAsia="宋体" w:cs="宋体"/>
          <w:b/>
          <w:bCs/>
          <w:sz w:val="24"/>
          <w:szCs w:val="24"/>
        </w:rPr>
      </w:pPr>
      <w:r>
        <w:rPr>
          <w:rFonts w:hint="eastAsia" w:ascii="宋体" w:hAnsi="宋体" w:eastAsia="宋体" w:cs="宋体"/>
          <w:b/>
          <w:bCs/>
          <w:sz w:val="24"/>
          <w:szCs w:val="24"/>
        </w:rPr>
        <w:t xml:space="preserve">5.环卫设施清洗作业要求</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（1）垃圾亭、垃圾房、垃圾桶、果壳箱实行一日一清洗制度，遇检查活动时，应巡回保洁。</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2）果壳箱（垃圾桶）外表面应整洁干净，无污迹、无乱刻画、无乱张贴，垃圾桶内壁应清洗至沿口下三分之一处；设置点周围地面应干净整洁无污迹；垃圾房（亭）内外地面应整洁，无散落垃圾和堆积杂物，无积留污水。内外墙面无污迹、无乱刻画、乱张贴。</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（3）发现设施损坏，应及时报修。</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（4）非机动车黄色停车区域内车辆，应按规定摆放，摆放应头尾一致，停放整齐；不得占用盲道。</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r>
      <w:r/>
    </w:p>
    <w:p>
      <w:pPr>
        <w:ind w:firstLine="284"/>
        <w:jc w:val="center"/>
        <w:spacing w:line="400" w:lineRule="exact"/>
        <w:rPr>
          <w:rFonts w:hint="eastAsia" w:ascii="宋体" w:hAnsi="宋体" w:eastAsia="宋体" w:cs="宋体"/>
          <w:b/>
          <w:sz w:val="24"/>
          <w:szCs w:val="24"/>
        </w:rPr>
      </w:pPr>
      <w:r>
        <w:rPr>
          <w:rFonts w:hint="eastAsia" w:ascii="宋体" w:hAnsi="宋体" w:eastAsia="宋体" w:cs="宋体"/>
          <w:b/>
          <w:sz w:val="24"/>
          <w:szCs w:val="24"/>
        </w:rPr>
      </w:r>
      <w:r/>
    </w:p>
    <w:p>
      <w:pPr>
        <w:jc w:val="center"/>
        <w:spacing w:line="440" w:lineRule="exact"/>
        <w:rPr>
          <w:rFonts w:hint="eastAsia" w:ascii="宋体" w:hAnsi="宋体" w:eastAsia="宋体" w:cs="宋体"/>
          <w:b/>
          <w:sz w:val="24"/>
          <w:szCs w:val="24"/>
        </w:rPr>
      </w:pPr>
      <w:r>
        <w:rPr>
          <w:rFonts w:hint="eastAsia" w:ascii="宋体" w:hAnsi="宋体" w:eastAsia="宋体" w:cs="宋体"/>
          <w:b/>
          <w:sz w:val="24"/>
          <w:szCs w:val="24"/>
        </w:rPr>
        <w:t xml:space="preserve">上兴镇环卫作业考核细则</w:t>
      </w:r>
      <w:r/>
    </w:p>
    <w:p>
      <w:pPr>
        <w:spacing w:line="400" w:lineRule="exact"/>
        <w:rPr>
          <w:rFonts w:hint="eastAsia" w:ascii="宋体" w:hAnsi="宋体" w:eastAsia="宋体" w:cs="宋体"/>
          <w:b/>
          <w:sz w:val="24"/>
          <w:szCs w:val="24"/>
        </w:rPr>
      </w:pPr>
      <w:r>
        <w:rPr>
          <w:rFonts w:hint="eastAsia" w:ascii="宋体" w:hAnsi="宋体" w:eastAsia="宋体" w:cs="宋体"/>
          <w:b/>
          <w:sz w:val="24"/>
          <w:szCs w:val="24"/>
        </w:rPr>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环卫作业考核实行百分制：环卫作业90分，安全文明生产5分，规范用工5分。同时，根据常州市、溧阳市、上兴镇对集镇长效综合管理考核结果、媒体曝光及群众投诉等情况在总分中直接扣减。</w:t>
      </w:r>
      <w:r/>
    </w:p>
    <w:p>
      <w:pPr>
        <w:ind w:firstLine="487"/>
        <w:spacing w:line="360" w:lineRule="exact"/>
        <w:tabs>
          <w:tab w:val="left" w:pos="0" w:leader="none"/>
          <w:tab w:val="left" w:pos="709" w:leader="none"/>
        </w:tabs>
        <w:rPr>
          <w:rFonts w:hint="eastAsia" w:ascii="宋体" w:hAnsi="宋体" w:eastAsia="宋体" w:cs="宋体"/>
          <w:b/>
          <w:bCs/>
          <w:sz w:val="24"/>
          <w:szCs w:val="24"/>
        </w:rPr>
      </w:pPr>
      <w:r>
        <w:rPr>
          <w:rFonts w:hint="eastAsia" w:ascii="宋体" w:hAnsi="宋体" w:eastAsia="宋体" w:cs="宋体"/>
          <w:b/>
          <w:bCs/>
          <w:sz w:val="24"/>
          <w:szCs w:val="24"/>
        </w:rPr>
        <w:t xml:space="preserve">1.环卫作业90分</w:t>
      </w:r>
      <w:r>
        <w:rPr>
          <w:rFonts w:hint="eastAsia" w:ascii="宋体" w:hAnsi="宋体" w:eastAsia="宋体" w:cs="宋体"/>
          <w:b/>
          <w:bCs/>
          <w:sz w:val="24"/>
          <w:szCs w:val="24"/>
        </w:rPr>
        <w:tab/>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（1）道路保洁有下列情形之一的，每项或每处扣1分。</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①路面清扫不干净，有边脚泥或灰沙的。</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②道路漏扫，垃圾漏收的。</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③道路交界处未按规定扫通的。</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④窨井泉眼未通的。</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⑤乱倒清扫垃圾，焚烧垃圾的。</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⑥降雪天气未及时组织铲雪作业，融雪后未及时清扫干净的。</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⑦路面有废弃物（包括每瓜皮果壳、纸屑/塑膜、烟蒂、痰迹、混凝土、渣土、沙、石、砖、粪便、呕吐物、动物尸体）未在规定时间内清理干净的。</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⑧污水、雨水积水未及时清扫的。</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⑨道路未按规定时间清扫完毕的。</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⑩环卫设施（垃圾房、垃圾亭、垃圾桶、果壳箱等）周边有暴露垃圾的。</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（2）乱张贴清除有下列情形之一的，每项或每处扣1分。</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①不按规范对乱张贴进行清除的。</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②清除不彻底、覆盖不规整的。</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③未在规定时间予以清除的。</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④清除完毕未及时清理残留垃圾的。</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（3）公共厕所保洁有下列情形之一的，每项或每处扣1分。</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①未按规定时间冲洗完毕的。</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②墙面、天花板、门窗和隔离板有积灰、污迹、蛛网，乱涂乱画，地面有积水的。</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③座便器、蹲位、大便槽两侧有粪便污物，槽内有积粪；小便槽(斗)有水锈、尿垢、垃圾，厕所内有明显臭味的。</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④公厕四周3—5米范围内，有垃圾、粪便、污水等污物；有乱披乱挂、乱堆乱放、乱涂乱贴现象的。</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⑤发现设施破损或遗失未立即报修的；公厕下水道堵塞未及时疏通到位的。</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⑥蝇蚊孳生季节未定时喷洒灭蚊蝇药物，有蝇蛆孳生的。</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（4）环卫设施清洗有下列情形之一的，每项或每处扣1分。</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①未按规定次数完成清洗的。</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②果壳箱（垃圾桶）外表面有污迹、有乱刻画、乱张贴的，垃圾桶内壁未清洗至沿口下三分之一处的；设置点周围地面有污迹的。</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③垃圾房（亭）内外地面有散落垃圾和堆积杂物、积留污水的，内外墙面有污迹、乱刻画、乱张贴的，四周3—5米范围内，有垃圾、粪便、污水等污物；有乱披乱挂、乱堆乱放、乱涂乱贴现象的。</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④发现设施损坏，未及时报修的。</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⑤非机动车黄色停车区域内车辆，停放不整齐，头尾不一致，占用盲道。</w:t>
      </w:r>
      <w:r/>
    </w:p>
    <w:p>
      <w:pPr>
        <w:ind w:firstLine="482"/>
        <w:spacing w:line="360" w:lineRule="exact"/>
        <w:tabs>
          <w:tab w:val="left" w:pos="0" w:leader="none"/>
          <w:tab w:val="left" w:pos="709" w:leader="none"/>
        </w:tabs>
        <w:rPr>
          <w:rFonts w:hint="eastAsia" w:ascii="宋体" w:hAnsi="宋体" w:eastAsia="宋体" w:cs="宋体"/>
          <w:b/>
          <w:bCs/>
          <w:sz w:val="24"/>
          <w:szCs w:val="24"/>
        </w:rPr>
      </w:pPr>
      <w:r>
        <w:rPr>
          <w:rFonts w:hint="eastAsia" w:ascii="宋体" w:hAnsi="宋体" w:eastAsia="宋体" w:cs="宋体"/>
          <w:b/>
          <w:bCs/>
          <w:sz w:val="24"/>
          <w:szCs w:val="24"/>
        </w:rPr>
        <w:t xml:space="preserve">2.安全文明生产5分</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有下列情形之一的，每项或每人扣1分。</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①未穿戴作业单位统一规定的反光安全标志服的。</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②穿拖鞋上班的。</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③机械化车辆在岗作业时车辆停留休息的或作业人员当班闲坐、聊天的。</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④作业人员当班围观突发事件或就地闲逛购物的或选择性的捡拾或售卖饮料瓶和硬板纸等废品的。</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⑤不文明作业，故意扬尘的。</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⑥车辆容貌未保持完好、密闭、整洁、安全的。</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7 \* GB3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⑦</w:t>
      </w:r>
      <w:r>
        <w:rPr>
          <w:rFonts w:hint="eastAsia" w:ascii="宋体" w:hAnsi="宋体" w:eastAsia="宋体" w:cs="宋体"/>
          <w:sz w:val="24"/>
          <w:szCs w:val="24"/>
        </w:rPr>
        <w:fldChar w:fldCharType="end"/>
      </w:r>
      <w:r>
        <w:rPr>
          <w:rFonts w:hint="eastAsia" w:ascii="宋体" w:hAnsi="宋体" w:eastAsia="宋体" w:cs="宋体"/>
          <w:sz w:val="24"/>
          <w:szCs w:val="24"/>
        </w:rPr>
        <w:t xml:space="preserve">电瓶收集车超载、超速、占用快车道的。</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8 \* GB3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⑧</w:t>
      </w:r>
      <w:r>
        <w:rPr>
          <w:rFonts w:hint="eastAsia" w:ascii="宋体" w:hAnsi="宋体" w:eastAsia="宋体" w:cs="宋体"/>
          <w:sz w:val="24"/>
          <w:szCs w:val="24"/>
        </w:rPr>
        <w:fldChar w:fldCharType="end"/>
      </w:r>
      <w:r>
        <w:rPr>
          <w:rFonts w:hint="eastAsia" w:ascii="宋体" w:hAnsi="宋体" w:eastAsia="宋体" w:cs="宋体"/>
          <w:sz w:val="24"/>
          <w:szCs w:val="24"/>
        </w:rPr>
        <w:t xml:space="preserve">作业工具、车辆未紧靠路边停放，或者停靠在公交车站、消防栓旁的。</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9 \* GB3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⑨</w:t>
      </w:r>
      <w:r>
        <w:rPr>
          <w:rFonts w:hint="eastAsia" w:ascii="宋体" w:hAnsi="宋体" w:eastAsia="宋体" w:cs="宋体"/>
          <w:sz w:val="24"/>
          <w:szCs w:val="24"/>
        </w:rPr>
        <w:fldChar w:fldCharType="end"/>
      </w:r>
      <w:r>
        <w:rPr>
          <w:rFonts w:hint="eastAsia" w:ascii="宋体" w:hAnsi="宋体" w:eastAsia="宋体" w:cs="宋体"/>
          <w:sz w:val="24"/>
          <w:szCs w:val="24"/>
        </w:rPr>
        <w:t xml:space="preserve">收集车未在作业方向设置警示标志。</w:t>
      </w:r>
      <w:r/>
    </w:p>
    <w:p>
      <w:pPr>
        <w:ind w:firstLine="487"/>
        <w:spacing w:line="360" w:lineRule="exact"/>
        <w:tabs>
          <w:tab w:val="left" w:pos="0" w:leader="none"/>
          <w:tab w:val="left" w:pos="709" w:leader="none"/>
        </w:tabs>
        <w:rPr>
          <w:rFonts w:hint="eastAsia" w:ascii="宋体" w:hAnsi="宋体" w:eastAsia="宋体" w:cs="宋体"/>
          <w:b/>
          <w:bCs/>
          <w:sz w:val="24"/>
          <w:szCs w:val="24"/>
        </w:rPr>
      </w:pPr>
      <w:r>
        <w:rPr>
          <w:rFonts w:hint="eastAsia" w:ascii="宋体" w:hAnsi="宋体" w:eastAsia="宋体" w:cs="宋体"/>
          <w:b/>
          <w:bCs/>
          <w:sz w:val="24"/>
          <w:szCs w:val="24"/>
        </w:rPr>
        <w:t xml:space="preserve">3.规范用工5分</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有下列情形之一的，每项或每人扣1分。</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①抽查人员工资发放记录，确有用工不满足规定工资标准的。</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②接到有关签订劳动合同投诉属实的。</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③接到有关补贴不及时发放的投诉属实的。</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④接到有关保险按时缴纳的投诉属实的。</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⑤出现5人以上劳资纠纷的。</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⑥建立基础管理台帐，包括《人员作业情况登记本》、《日常检查情况登记本》、《信访处理登记本》，每缺1本扣1分，登记不及时的每本每次扣1分。</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7 \* GB3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⑦</w:t>
      </w:r>
      <w:r>
        <w:rPr>
          <w:rFonts w:hint="eastAsia" w:ascii="宋体" w:hAnsi="宋体" w:eastAsia="宋体" w:cs="宋体"/>
          <w:sz w:val="24"/>
          <w:szCs w:val="24"/>
        </w:rPr>
        <w:fldChar w:fldCharType="end"/>
      </w:r>
      <w:r>
        <w:rPr>
          <w:rFonts w:hint="eastAsia" w:ascii="宋体" w:hAnsi="宋体" w:eastAsia="宋体" w:cs="宋体"/>
          <w:sz w:val="24"/>
          <w:szCs w:val="24"/>
        </w:rPr>
        <w:t xml:space="preserve">建立相关管理制度，包括行政管理制度、考勤制度、岗位责任制度、安全生产制度、考核制度，每缺1项制度扣1分。</w:t>
      </w:r>
      <w:r/>
    </w:p>
    <w:p>
      <w:pPr>
        <w:ind w:firstLine="487"/>
        <w:spacing w:line="360" w:lineRule="exact"/>
        <w:tabs>
          <w:tab w:val="left" w:pos="0" w:leader="none"/>
          <w:tab w:val="left" w:pos="709" w:leader="none"/>
        </w:tabs>
        <w:rPr>
          <w:rFonts w:hint="eastAsia" w:ascii="宋体" w:hAnsi="宋体" w:eastAsia="宋体" w:cs="宋体"/>
          <w:b/>
          <w:bCs/>
          <w:sz w:val="24"/>
          <w:szCs w:val="24"/>
        </w:rPr>
      </w:pPr>
      <w:r>
        <w:rPr>
          <w:rFonts w:hint="eastAsia" w:ascii="宋体" w:hAnsi="宋体" w:eastAsia="宋体" w:cs="宋体"/>
          <w:b/>
          <w:bCs/>
          <w:sz w:val="24"/>
          <w:szCs w:val="24"/>
        </w:rPr>
        <w:t xml:space="preserve">4.镇级以上检查考核及媒体曝光、群众投诉等情况</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①在镇级督查考核中扣分的，作1.5倍扣分；在溧阳市城市长效综合管理考核中扣分的，作2倍扣分；在常州市级以上城乡长效综合管理考核中扣分的，作2.5倍扣分。</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②媒体曝光属实的（以媒体最先曝光时间为扣分记录时间），每项扣3分；群众投诉举报属实的，每项扣2分。</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③考评中发现及上级反馈问题通知整改的，在规定的时间内仍未整改的，以及未在一个工作日内反馈整改情况的（反馈情况以书面或电子文档为准），按标准2倍扣分。</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④中标人未按时保质保量完成采购人交给的指令性任务，每次扣2分</w:t>
      </w:r>
      <w:r/>
    </w:p>
    <w:p>
      <w:pPr>
        <w:ind w:firstLine="487"/>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b/>
          <w:sz w:val="24"/>
          <w:szCs w:val="24"/>
        </w:rPr>
        <w:t xml:space="preserve">5.考核实施办法</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①根据本考评细则组织月度考核，采购人采取样本抽查和现场随机检查的方式进行考核，每月不少于5次，按百分制计分；三个月的平均分为季度考核成绩。</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②采购人取证资料必须做到时间与地点清楚、背景清晰，便于中标人查证核对认可。当日的取证资料只保存七工作日，期内可供中标人查看或复制，过期视为默认。</w:t>
      </w:r>
      <w:r/>
    </w:p>
    <w:p>
      <w:pPr>
        <w:ind w:firstLine="484"/>
        <w:spacing w:line="360" w:lineRule="exact"/>
        <w:tabs>
          <w:tab w:val="left" w:pos="0" w:leader="none"/>
          <w:tab w:val="left" w:pos="709" w:leader="none"/>
        </w:tabs>
        <w:rPr>
          <w:rFonts w:hint="eastAsia" w:ascii="宋体" w:hAnsi="宋体" w:eastAsia="宋体" w:cs="宋体"/>
          <w:b/>
          <w:bCs/>
          <w:sz w:val="24"/>
          <w:szCs w:val="24"/>
        </w:rPr>
      </w:pPr>
      <w:r>
        <w:rPr>
          <w:rFonts w:hint="eastAsia" w:ascii="宋体" w:hAnsi="宋体" w:eastAsia="宋体" w:cs="宋体"/>
          <w:sz w:val="24"/>
          <w:szCs w:val="24"/>
        </w:rPr>
        <w:t xml:space="preserve">③根据月度和季度考核结果，月度按1分500元扣除，季度按平均分，在90分（含）以上且月度得分不低于85分（含）的，全额支付；低于90分的或月度得分低于85分的，每低1分扣罚管理费的1%。</w:t>
      </w:r>
      <w:r/>
    </w:p>
    <w:p>
      <w:pPr>
        <w:ind w:firstLine="487"/>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b/>
          <w:bCs/>
          <w:sz w:val="24"/>
          <w:szCs w:val="24"/>
        </w:rPr>
        <w:t xml:space="preserve">④中标人在2个月的试用期内考核结果在85分（不含85分）以下的，作试用期考核不合格处理。采购人将不与中标人签订正式作业服务合同。中标人不得以设备采购、人员招聘、办公经营场所租赁等任何理由向采购人提出经济补偿要求。</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⑤中标人在承包期内连续2次或累计3次考核结果在85分（不含85分）以下的，采购人在满足前述条件的次月底前与中标人解除合同。被解除合同的中标人在被解除合同时日起两年内不得参与本镇区环卫作业投标。</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⑥中标人在各类应急响应工作，市、区重大活动期间因工作不到位造成重大影响的，采购人有权在合同期内提前15天通知中标人解除合同。被解除合同的中标人在被解除合同时日起三年内不得参与本镇区环卫作业投标。</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⑦中标人不能按时支付本合同规定的各项人员支出的，采购人有权在合同期内提前15天通知中标人解除合同。被解除合同的中标人在被解除合同时日起三年内不得参与本镇区环卫作业投标。</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8 \* GB3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⑧</w:t>
      </w:r>
      <w:r>
        <w:rPr>
          <w:rFonts w:hint="eastAsia" w:ascii="宋体" w:hAnsi="宋体" w:eastAsia="宋体" w:cs="宋体"/>
          <w:sz w:val="24"/>
          <w:szCs w:val="24"/>
        </w:rPr>
        <w:fldChar w:fldCharType="end"/>
      </w:r>
      <w:r>
        <w:rPr>
          <w:rFonts w:hint="eastAsia" w:ascii="宋体" w:hAnsi="宋体" w:eastAsia="宋体" w:cs="宋体"/>
          <w:sz w:val="24"/>
          <w:szCs w:val="24"/>
        </w:rPr>
        <w:t xml:space="preserve">被解除合同后的标段由相邻标段中标单位临时代管，作业及考核要求与本合同一致。代管期限最长不得超过3个月，且代管期内遇合同到期则代管自动终止。</w:t>
      </w:r>
      <w:r/>
    </w:p>
    <w:p>
      <w:pPr>
        <w:ind w:firstLine="487"/>
        <w:spacing w:line="460" w:lineRule="exact"/>
        <w:rPr>
          <w:rFonts w:ascii="宋体" w:hAnsi="宋体" w:eastAsia="宋体" w:cs="宋体"/>
          <w:b/>
          <w:sz w:val="24"/>
          <w:szCs w:val="24"/>
        </w:rPr>
      </w:pPr>
      <w:r>
        <w:rPr>
          <w:rFonts w:hint="eastAsia" w:ascii="宋体" w:hAnsi="宋体" w:eastAsia="宋体" w:cs="宋体"/>
          <w:b/>
          <w:sz w:val="24"/>
          <w:szCs w:val="24"/>
        </w:rPr>
        <w:t xml:space="preserve">7.本办法的贯彻执行由溧阳市上兴镇综合行政执法局负责监督和检查。</w:t>
      </w:r>
      <w:r/>
    </w:p>
    <w:p>
      <w:pPr>
        <w:ind w:firstLine="480"/>
        <w:jc w:val="left"/>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contextualSpacing/>
        <w:ind w:left="0" w:firstLine="0"/>
        <w:jc w:val="both"/>
        <w:spacing w:line="360" w:lineRule="auto"/>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五、付款方式与说明</w:t>
      </w:r>
      <w:r/>
    </w:p>
    <w:p>
      <w:pPr>
        <w:ind w:firstLine="480"/>
        <w:spacing w:line="360" w:lineRule="exact"/>
        <w:rPr>
          <w:rFonts w:hint="eastAsia" w:ascii="宋体" w:hAnsi="宋体" w:eastAsia="宋体" w:cs="宋体"/>
          <w:sz w:val="24"/>
          <w:szCs w:val="24"/>
          <w:highlight w:val="none"/>
        </w:rPr>
      </w:pPr>
      <w:r>
        <w:rPr>
          <w:rFonts w:hint="eastAsia" w:ascii="宋体" w:hAnsi="宋体" w:eastAsia="宋体" w:cs="宋体"/>
          <w:sz w:val="24"/>
          <w:szCs w:val="24"/>
        </w:rPr>
        <w:t xml:space="preserve">扣款方式：因考核达不到规定分值等原因，按《上兴镇环卫作业考评细则</w:t>
      </w:r>
      <w:r>
        <w:rPr>
          <w:rFonts w:hint="eastAsia" w:ascii="宋体" w:hAnsi="宋体" w:eastAsia="宋体" w:cs="宋体"/>
          <w:sz w:val="24"/>
          <w:szCs w:val="24"/>
          <w:highlight w:val="none"/>
        </w:rPr>
        <w:t xml:space="preserve">》考核扣款后，作为最终的季度作业服务款。</w:t>
      </w:r>
      <w:r/>
    </w:p>
    <w:p>
      <w:pPr>
        <w:ind w:firstLine="480"/>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付款时间：采购人根据考核结果，于次季度第一个月15日前（含当日）向</w:t>
      </w:r>
      <w:r>
        <w:rPr>
          <w:rFonts w:hint="eastAsia" w:ascii="宋体" w:hAnsi="宋体" w:eastAsia="宋体" w:cs="宋体"/>
          <w:sz w:val="24"/>
          <w:szCs w:val="24"/>
          <w:highlight w:val="none"/>
        </w:rPr>
        <w:t xml:space="preserve">成交供应商</w:t>
      </w:r>
      <w:r>
        <w:rPr>
          <w:rFonts w:hint="eastAsia" w:ascii="宋体" w:hAnsi="宋体" w:eastAsia="宋体" w:cs="宋体"/>
          <w:sz w:val="24"/>
          <w:szCs w:val="24"/>
          <w:highlight w:val="none"/>
        </w:rPr>
        <w:t xml:space="preserve">支付作业服务款。</w:t>
      </w:r>
      <w:r/>
    </w:p>
    <w:p>
      <w:pPr>
        <w:ind w:firstLine="480"/>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付款方式：以转账方式直接转入成交供应商银行账户。</w:t>
      </w:r>
      <w:r/>
    </w:p>
    <w:p>
      <w:pPr>
        <w:ind w:firstLine="482"/>
        <w:spacing w:line="36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注：</w:t>
      </w:r>
      <w:r>
        <w:rPr>
          <w:rFonts w:hint="eastAsia" w:ascii="宋体" w:hAnsi="宋体" w:eastAsia="宋体" w:cs="宋体"/>
          <w:b/>
          <w:bCs/>
          <w:sz w:val="24"/>
          <w:szCs w:val="24"/>
          <w:highlight w:val="none"/>
        </w:rPr>
        <w:t xml:space="preserve">与成交供应商签订承包合同，成交供应商若发生违约行为或考评不合格，采购人有权终止合同的履行。</w:t>
      </w:r>
      <w:r/>
    </w:p>
    <w:p>
      <w:pPr>
        <w:ind w:firstLine="480"/>
        <w:spacing w:line="36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contextualSpacing/>
        <w:ind w:left="0" w:firstLine="0"/>
        <w:jc w:val="both"/>
        <w:spacing w:line="360" w:lineRule="auto"/>
        <w:widowControl w:val="off"/>
        <w:rPr>
          <w:rFonts w:hint="default"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六、其他要求</w:t>
      </w:r>
      <w:r/>
    </w:p>
    <w:p>
      <w:pPr>
        <w:ind w:firstLine="480"/>
        <w:spacing w:line="36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一旦中标，</w:t>
      </w:r>
      <w:r>
        <w:rPr>
          <w:rFonts w:hint="eastAsia" w:ascii="宋体" w:hAnsi="宋体" w:eastAsia="宋体" w:cs="宋体"/>
          <w:sz w:val="24"/>
          <w:szCs w:val="24"/>
          <w:highlight w:val="none"/>
        </w:rPr>
        <w:t xml:space="preserve">成交供应商</w:t>
      </w:r>
      <w:r>
        <w:rPr>
          <w:rFonts w:hint="eastAsia" w:ascii="宋体" w:hAnsi="宋体" w:eastAsia="宋体" w:cs="宋体"/>
          <w:sz w:val="24"/>
          <w:szCs w:val="24"/>
        </w:rPr>
        <w:t xml:space="preserve">必须按要求派驻人员，且不得低于最低配置要求，否则按无效投标文件处理。</w:t>
      </w:r>
      <w:r/>
    </w:p>
    <w:p>
      <w:pPr>
        <w:ind w:firstLine="480"/>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在进行劳动力测算时，投标供应商根据自身经验及现场情况等因素自行配置，但不得低于最低配置要求，投标供应商需在投标报价中充分考虑该因素，一旦中标，作业任务没有调整的情况下，投标报价不随人员配置数量增加而调整。</w:t>
      </w:r>
      <w:r/>
    </w:p>
    <w:p>
      <w:pPr>
        <w:ind w:firstLine="480"/>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highlight w:val="none"/>
        </w:rPr>
        <w:t xml:space="preserve">成交供应商</w:t>
      </w:r>
      <w:r>
        <w:rPr>
          <w:rFonts w:hint="eastAsia" w:ascii="宋体" w:hAnsi="宋体" w:eastAsia="宋体" w:cs="宋体"/>
          <w:sz w:val="24"/>
          <w:szCs w:val="24"/>
          <w:lang w:val="en-US" w:eastAsia="zh-CN"/>
        </w:rPr>
        <w:t xml:space="preserve">必须做到安全运行，无事故发生。如</w:t>
      </w:r>
      <w:r>
        <w:rPr>
          <w:rFonts w:hint="eastAsia" w:ascii="宋体" w:hAnsi="宋体" w:eastAsia="宋体" w:cs="宋体"/>
          <w:sz w:val="24"/>
          <w:szCs w:val="24"/>
          <w:highlight w:val="none"/>
        </w:rPr>
        <w:t xml:space="preserve">成交供应商</w:t>
      </w:r>
      <w:r>
        <w:rPr>
          <w:rFonts w:hint="eastAsia" w:ascii="宋体" w:hAnsi="宋体" w:eastAsia="宋体" w:cs="宋体"/>
          <w:sz w:val="24"/>
          <w:szCs w:val="24"/>
          <w:lang w:val="en-US" w:eastAsia="zh-CN"/>
        </w:rPr>
        <w:t xml:space="preserve">在履行合同过程中发生任何安全事故或交通事故等，造成人员伤亡或财产损失的，全部责任由</w:t>
      </w:r>
      <w:r>
        <w:rPr>
          <w:rFonts w:hint="eastAsia" w:ascii="宋体" w:hAnsi="宋体" w:eastAsia="宋体" w:cs="宋体"/>
          <w:sz w:val="24"/>
          <w:szCs w:val="24"/>
          <w:highlight w:val="none"/>
        </w:rPr>
        <w:t xml:space="preserve">成交供应商</w:t>
      </w:r>
      <w:r>
        <w:rPr>
          <w:rFonts w:hint="eastAsia" w:ascii="宋体" w:hAnsi="宋体" w:eastAsia="宋体" w:cs="宋体"/>
          <w:sz w:val="24"/>
          <w:szCs w:val="24"/>
          <w:lang w:val="en-US" w:eastAsia="zh-CN"/>
        </w:rPr>
        <w:t xml:space="preserve">自行承担，与采购人无关；如由此造成采购人损失的，采购人有权要求</w:t>
      </w:r>
      <w:r>
        <w:rPr>
          <w:rFonts w:hint="eastAsia" w:ascii="宋体" w:hAnsi="宋体" w:eastAsia="宋体" w:cs="宋体"/>
          <w:sz w:val="24"/>
          <w:szCs w:val="24"/>
          <w:highlight w:val="none"/>
        </w:rPr>
        <w:t xml:space="preserve">成交供应商</w:t>
      </w:r>
      <w:r>
        <w:rPr>
          <w:rFonts w:hint="eastAsia" w:ascii="宋体" w:hAnsi="宋体" w:eastAsia="宋体" w:cs="宋体"/>
          <w:sz w:val="24"/>
          <w:szCs w:val="24"/>
          <w:lang w:val="en-US" w:eastAsia="zh-CN"/>
        </w:rPr>
        <w:t xml:space="preserve">补偿相应损失部分。</w:t>
      </w:r>
      <w:r/>
    </w:p>
    <w:p>
      <w:pPr>
        <w:ind w:firstLine="480"/>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作业人员工资不得低于最新的溧阳市最低工资标准的（合同履行期限内，有新标准须执行新标准），投标时应在《分项报价表》中明确上述内容，否则作无效投标处理。</w:t>
      </w:r>
      <w:r/>
    </w:p>
    <w:p>
      <w:pPr>
        <w:ind w:firstLine="480"/>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★（5）高温费为最新的溧阳地区发放标准，作业服务期内高温费如遇上级政策调整，中标供应商须按新文件执行，否则按无效投标文件处理。</w:t>
      </w:r>
      <w:r/>
    </w:p>
    <w:p>
      <w:pPr>
        <w:ind w:firstLine="480"/>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（6）合同期内，凡新增作业任务，需得到采购人的认定同意，以采购人下达的任务书为准。凭任务书作为结算依据。</w:t>
      </w:r>
      <w:r/>
    </w:p>
    <w:p>
      <w:pPr>
        <w:ind w:firstLine="480"/>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（7）合同期内，因拆迁、施工等原因，而减少作业量的需及时上报采购人的相关职能部门认可（15 日内），不得自行停工，或改变作业时间与方式。如有不报或上报不及时，其减少作业量的时间由采购人确定。</w:t>
      </w:r>
      <w:r/>
    </w:p>
    <w:p>
      <w:pPr>
        <w:ind w:firstLine="480"/>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（8）由于工程施工、各类活动、节假日期间等因素导致的费用，不论这些因素是可预测或不可预测的，均已包含在投标报价中。除采购人要求外，不作调整。</w:t>
      </w:r>
      <w:r/>
    </w:p>
    <w:p>
      <w:pPr>
        <w:ind w:firstLine="480"/>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★（9）投标供应商须为所有作业人员缴纳意外险，且投保费用不得少于 300 元/人.年，否则按无效投标文件处理。</w:t>
      </w:r>
      <w:r/>
    </w:p>
    <w:p>
      <w:pPr>
        <w:ind w:firstLine="480"/>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投标人可根据自身需求自行提高险费标准，该费用已包含在投标报价中，结算不作调整。</w:t>
      </w:r>
      <w:r/>
    </w:p>
    <w:p>
      <w:pPr>
        <w:ind w:firstLine="480"/>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★（10）投标人须按溧阳地区社保部门最低起点标准为其</w:t>
      </w:r>
      <w:r>
        <w:rPr>
          <w:rFonts w:hint="eastAsia" w:ascii="宋体" w:hAnsi="宋体" w:eastAsia="宋体" w:cs="宋体"/>
          <w:sz w:val="24"/>
          <w:szCs w:val="24"/>
          <w:highlight w:val="none"/>
          <w:lang w:val="en-US" w:eastAsia="zh-CN" w:bidi="ar-SA"/>
        </w:rPr>
        <w:t xml:space="preserve">未达到退休年龄的</w:t>
      </w:r>
      <w:r>
        <w:rPr>
          <w:rFonts w:hint="eastAsia" w:ascii="宋体" w:hAnsi="宋体" w:cs="宋体"/>
          <w:sz w:val="24"/>
          <w:szCs w:val="24"/>
          <w:highlight w:val="none"/>
          <w:lang w:val="en-US" w:eastAsia="zh-CN" w:bidi="ar-SA"/>
        </w:rPr>
        <w:t xml:space="preserve">职工</w:t>
      </w:r>
      <w:r>
        <w:rPr>
          <w:rFonts w:hint="eastAsia" w:ascii="宋体" w:hAnsi="宋体" w:eastAsia="宋体" w:cs="宋体"/>
          <w:sz w:val="24"/>
          <w:szCs w:val="24"/>
          <w:highlight w:val="none"/>
          <w:lang w:val="en-US" w:eastAsia="zh-CN" w:bidi="ar-SA"/>
        </w:rPr>
        <w:t xml:space="preserve">缴纳社会保险</w:t>
      </w:r>
      <w:r>
        <w:rPr>
          <w:rFonts w:hint="eastAsia" w:ascii="宋体" w:hAnsi="宋体" w:eastAsia="宋体" w:cs="宋体"/>
          <w:sz w:val="24"/>
          <w:szCs w:val="24"/>
          <w:lang w:val="en-US" w:eastAsia="zh-CN"/>
        </w:rPr>
        <w:t xml:space="preserve">缴纳“五金”（养老保险金、医疗保险金、工伤保险金、生育保险金、失业保险金）。</w:t>
      </w:r>
      <w:r/>
    </w:p>
    <w:p>
      <w:pPr>
        <w:ind w:firstLine="480"/>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因突发情况（如台风、雨雪、冰雹、霜或冰冻等天气或气候因素，或车辆、居民、行人等人为因素，或是其它因素，以及复合因素或不明原因的情况）导致的道路污染必须及时清除，不论这些因素是可预测或不可预测的，均已包含在投标报价中。除采购人要求外，不作调整。</w:t>
      </w:r>
      <w:r/>
    </w:p>
    <w:p>
      <w:pPr>
        <w:ind w:firstLine="480"/>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除采购人要求外，投标报价不作调整。但因政策所涉及的最低工资标准、五金、加班工资、高温补贴的调整由中标人作为主要风险因素进行考量。除政府财政有专项经费下拨外，所有费用均由中标人承担。</w:t>
      </w:r>
      <w:r/>
    </w:p>
    <w:p>
      <w:pPr>
        <w:ind w:firstLine="480"/>
        <w:spacing w:line="36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（13）</w:t>
      </w:r>
      <w:r>
        <w:rPr>
          <w:rFonts w:hint="eastAsia" w:ascii="宋体" w:hAnsi="宋体" w:eastAsia="宋体" w:cs="宋体"/>
          <w:sz w:val="24"/>
          <w:szCs w:val="24"/>
        </w:rPr>
        <w:t xml:space="preserve">供应商投标时应出具《分项报价表》，且内容符合采购文件要求，否则作无效投标处理。</w:t>
      </w:r>
      <w:r/>
    </w:p>
    <w:p>
      <w:pPr>
        <w:pStyle w:val="859"/>
        <w:rPr>
          <w:rFonts w:hint="eastAsia"/>
          <w:lang w:val="en-US" w:eastAsia="zh-CN"/>
        </w:rPr>
      </w:pPr>
      <w:r>
        <w:rPr>
          <w:rFonts w:hint="eastAsia"/>
          <w:lang w:val="en-US" w:eastAsia="zh-CN"/>
        </w:rPr>
      </w:r>
      <w:r/>
    </w:p>
    <w:p>
      <w:pPr>
        <w:pStyle w:val="846"/>
        <w:rPr>
          <w:rFonts w:hint="eastAsia" w:ascii="Times New Roman" w:hAnsi="Times New Roman"/>
          <w:sz w:val="24"/>
        </w:rPr>
      </w:pPr>
      <w:r>
        <w:rPr>
          <w:rFonts w:hint="eastAsia" w:ascii="Times New Roman" w:hAnsi="Times New Roman"/>
          <w:sz w:val="24"/>
        </w:rPr>
      </w:r>
      <w:r/>
    </w:p>
    <w:p>
      <w:pPr>
        <w:rPr>
          <w:rFonts w:hint="eastAsia" w:ascii="Times New Roman" w:hAnsi="Times New Roman"/>
          <w:sz w:val="24"/>
        </w:rPr>
      </w:pPr>
      <w:r>
        <w:rPr>
          <w:rFonts w:hint="eastAsia" w:ascii="Times New Roman" w:hAnsi="Times New Roman"/>
          <w:sz w:val="24"/>
        </w:rPr>
      </w:r>
      <w:r/>
    </w:p>
    <w:p>
      <w:pPr>
        <w:pStyle w:val="846"/>
        <w:rPr>
          <w:rFonts w:hint="eastAsia" w:ascii="Times New Roman" w:hAnsi="Times New Roman"/>
          <w:sz w:val="24"/>
        </w:rPr>
      </w:pPr>
      <w:r>
        <w:rPr>
          <w:rFonts w:hint="eastAsia" w:ascii="Times New Roman" w:hAnsi="Times New Roman"/>
          <w:sz w:val="24"/>
        </w:rPr>
      </w:r>
      <w:r/>
    </w:p>
    <w:p>
      <w:pPr>
        <w:rPr>
          <w:rFonts w:hint="eastAsia" w:ascii="Times New Roman" w:hAnsi="Times New Roman"/>
          <w:sz w:val="24"/>
        </w:rPr>
      </w:pPr>
      <w:r>
        <w:rPr>
          <w:rFonts w:hint="eastAsia" w:ascii="Times New Roman" w:hAnsi="Times New Roman"/>
          <w:sz w:val="24"/>
        </w:rPr>
      </w:r>
      <w:r/>
    </w:p>
    <w:p>
      <w:pPr>
        <w:pStyle w:val="846"/>
        <w:rPr>
          <w:rFonts w:hint="eastAsia" w:ascii="Times New Roman" w:hAnsi="Times New Roman"/>
          <w:sz w:val="24"/>
        </w:rPr>
      </w:pPr>
      <w:r>
        <w:rPr>
          <w:rFonts w:hint="eastAsia" w:ascii="Times New Roman" w:hAnsi="Times New Roman"/>
          <w:sz w:val="24"/>
        </w:rPr>
      </w:r>
      <w:r/>
    </w:p>
    <w:p>
      <w:pPr>
        <w:rPr>
          <w:rFonts w:hint="eastAsia" w:ascii="Times New Roman" w:hAnsi="Times New Roman"/>
          <w:sz w:val="24"/>
        </w:rPr>
      </w:pPr>
      <w:r>
        <w:rPr>
          <w:rFonts w:hint="eastAsia" w:ascii="Times New Roman" w:hAnsi="Times New Roman"/>
          <w:sz w:val="24"/>
        </w:rPr>
      </w:r>
      <w:r/>
    </w:p>
    <w:p>
      <w:pPr>
        <w:pStyle w:val="846"/>
        <w:rPr>
          <w:rFonts w:hint="eastAsia" w:ascii="Times New Roman" w:hAnsi="Times New Roman"/>
          <w:sz w:val="24"/>
        </w:rPr>
      </w:pPr>
      <w:r>
        <w:rPr>
          <w:rFonts w:hint="eastAsia" w:ascii="Times New Roman" w:hAnsi="Times New Roman"/>
          <w:sz w:val="24"/>
        </w:rPr>
      </w:r>
      <w:r/>
    </w:p>
    <w:p>
      <w:pPr>
        <w:rPr>
          <w:rFonts w:hint="eastAsia" w:ascii="Times New Roman" w:hAnsi="Times New Roman"/>
          <w:sz w:val="24"/>
        </w:rPr>
      </w:pPr>
      <w:r>
        <w:rPr>
          <w:rFonts w:hint="eastAsia" w:ascii="Times New Roman" w:hAnsi="Times New Roman"/>
          <w:sz w:val="24"/>
        </w:rPr>
      </w:r>
      <w:r/>
    </w:p>
    <w:p>
      <w:pPr>
        <w:pStyle w:val="859"/>
        <w:rPr>
          <w:rFonts w:hint="eastAsia" w:ascii="Times New Roman" w:hAnsi="Times New Roman"/>
          <w:sz w:val="24"/>
        </w:rPr>
      </w:pPr>
      <w:r>
        <w:rPr>
          <w:rFonts w:hint="eastAsia" w:ascii="Times New Roman" w:hAnsi="Times New Roman"/>
          <w:sz w:val="24"/>
        </w:rPr>
      </w:r>
      <w:r/>
    </w:p>
    <w:p>
      <w:pPr>
        <w:rPr>
          <w:rFonts w:hint="eastAsia" w:ascii="Times New Roman" w:hAnsi="Times New Roman"/>
          <w:sz w:val="24"/>
        </w:rPr>
      </w:pPr>
      <w:r>
        <w:rPr>
          <w:rFonts w:hint="eastAsia" w:ascii="Times New Roman" w:hAnsi="Times New Roman"/>
          <w:sz w:val="24"/>
        </w:rPr>
      </w:r>
      <w:r/>
    </w:p>
    <w:p>
      <w:pPr>
        <w:pStyle w:val="859"/>
        <w:rPr>
          <w:rFonts w:hint="eastAsia" w:ascii="Times New Roman" w:hAnsi="Times New Roman"/>
          <w:sz w:val="24"/>
        </w:rPr>
      </w:pPr>
      <w:r>
        <w:rPr>
          <w:rFonts w:hint="eastAsia" w:ascii="Times New Roman" w:hAnsi="Times New Roman"/>
          <w:sz w:val="24"/>
        </w:rPr>
      </w:r>
      <w:r/>
    </w:p>
    <w:p>
      <w:pPr>
        <w:rPr>
          <w:rFonts w:hint="eastAsia" w:ascii="Times New Roman" w:hAnsi="Times New Roman"/>
          <w:sz w:val="24"/>
        </w:rPr>
      </w:pPr>
      <w:r>
        <w:rPr>
          <w:rFonts w:hint="eastAsia" w:ascii="Times New Roman" w:hAnsi="Times New Roman"/>
          <w:sz w:val="24"/>
        </w:rPr>
      </w:r>
      <w:r/>
    </w:p>
    <w:p>
      <w:pPr>
        <w:pStyle w:val="859"/>
        <w:rPr>
          <w:rFonts w:hint="eastAsia" w:ascii="Times New Roman" w:hAnsi="Times New Roman"/>
          <w:sz w:val="24"/>
        </w:rPr>
      </w:pPr>
      <w:r>
        <w:rPr>
          <w:rFonts w:hint="eastAsia" w:ascii="Times New Roman" w:hAnsi="Times New Roman"/>
          <w:sz w:val="24"/>
        </w:rPr>
      </w:r>
      <w:r/>
    </w:p>
    <w:p>
      <w:pPr>
        <w:rPr>
          <w:rFonts w:hint="eastAsia" w:ascii="Times New Roman" w:hAnsi="Times New Roman"/>
          <w:sz w:val="24"/>
        </w:rPr>
      </w:pPr>
      <w:r>
        <w:rPr>
          <w:rFonts w:hint="eastAsia" w:ascii="Times New Roman" w:hAnsi="Times New Roman"/>
          <w:sz w:val="24"/>
        </w:rPr>
      </w:r>
      <w:r/>
    </w:p>
    <w:p>
      <w:pPr>
        <w:pStyle w:val="859"/>
        <w:rPr>
          <w:rFonts w:hint="eastAsia" w:ascii="Times New Roman" w:hAnsi="Times New Roman"/>
          <w:sz w:val="24"/>
        </w:rPr>
      </w:pPr>
      <w:r>
        <w:rPr>
          <w:rFonts w:hint="eastAsia" w:ascii="Times New Roman" w:hAnsi="Times New Roman"/>
          <w:sz w:val="24"/>
        </w:rPr>
      </w:r>
      <w:r/>
    </w:p>
    <w:p>
      <w:pPr>
        <w:rPr>
          <w:rFonts w:hint="eastAsia"/>
        </w:rPr>
      </w:pP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p>
    <w:p>
      <w:pPr>
        <w:rPr>
          <w:rFonts w:hint="eastAsia"/>
        </w:rPr>
      </w:pPr>
      <w:r>
        <w:rPr>
          <w:rFonts w:hint="eastAsia"/>
        </w:rPr>
      </w:r>
      <w:r/>
    </w:p>
    <w:p>
      <w:pPr>
        <w:rPr>
          <w:rFonts w:hint="eastAsia" w:ascii="Times New Roman" w:hAnsi="Times New Roman"/>
          <w:sz w:val="24"/>
        </w:rPr>
      </w:pPr>
      <w:r>
        <w:rPr>
          <w:rFonts w:hint="eastAsia" w:ascii="Times New Roman" w:hAnsi="Times New Roman"/>
          <w:sz w:val="24"/>
        </w:rPr>
      </w:r>
      <w:r/>
    </w:p>
    <w:p>
      <w:pPr>
        <w:rPr>
          <w:rFonts w:hint="eastAsia"/>
        </w:rPr>
      </w:pPr>
      <w:r>
        <w:rPr>
          <w:rFonts w:hint="eastAsia"/>
        </w:rPr>
      </w:r>
      <w:r/>
    </w:p>
    <w:p>
      <w:pPr>
        <w:numPr>
          <w:ilvl w:val="0"/>
          <w:numId w:val="15"/>
        </w:numPr>
        <w:jc w:val="center"/>
        <w:spacing w:line="360" w:lineRule="auto"/>
        <w:rPr>
          <w:b/>
          <w:sz w:val="36"/>
          <w:szCs w:val="36"/>
        </w:rPr>
        <w:outlineLvl w:val="0"/>
      </w:pPr>
      <w:r>
        <w:rPr>
          <w:b/>
          <w:sz w:val="36"/>
          <w:szCs w:val="36"/>
        </w:rPr>
        <w:t xml:space="preserve">  合同草案条款</w:t>
      </w:r>
      <w:bookmarkEnd w:id="670"/>
      <w:r/>
      <w:r/>
    </w:p>
    <w:p>
      <w:pPr>
        <w:ind w:firstLine="480"/>
        <w:spacing w:line="360" w:lineRule="exact"/>
        <w:rPr>
          <w:rFonts w:hint="eastAsia" w:ascii="宋体" w:hAnsi="宋体" w:eastAsia="宋体" w:cs="宋体"/>
          <w:sz w:val="24"/>
          <w:szCs w:val="24"/>
        </w:rPr>
      </w:pPr>
      <w:r>
        <w:rPr>
          <w:rFonts w:hint="eastAsia" w:ascii="宋体" w:hAnsi="宋体" w:eastAsia="宋体" w:cs="宋体"/>
          <w:sz w:val="24"/>
          <w:szCs w:val="24"/>
        </w:rPr>
        <w:t xml:space="preserve">甲方:</w:t>
      </w:r>
      <w:r/>
    </w:p>
    <w:p>
      <w:pPr>
        <w:ind w:firstLine="480"/>
        <w:spacing w:line="360" w:lineRule="exact"/>
        <w:rPr>
          <w:rFonts w:hint="eastAsia" w:ascii="宋体" w:hAnsi="宋体" w:eastAsia="宋体" w:cs="宋体"/>
          <w:sz w:val="24"/>
          <w:szCs w:val="24"/>
        </w:rPr>
      </w:pPr>
      <w:r>
        <w:rPr>
          <w:rFonts w:hint="eastAsia" w:ascii="宋体" w:hAnsi="宋体" w:eastAsia="宋体" w:cs="宋体"/>
          <w:sz w:val="24"/>
          <w:szCs w:val="24"/>
        </w:rPr>
        <w:t xml:space="preserve">法定代表人:</w:t>
      </w:r>
      <w:r/>
    </w:p>
    <w:p>
      <w:pPr>
        <w:ind w:firstLine="480"/>
        <w:spacing w:line="360" w:lineRule="exact"/>
        <w:rPr>
          <w:rFonts w:hint="eastAsia" w:ascii="宋体" w:hAnsi="宋体" w:eastAsia="宋体" w:cs="宋体"/>
          <w:sz w:val="24"/>
          <w:szCs w:val="24"/>
        </w:rPr>
      </w:pPr>
      <w:r>
        <w:rPr>
          <w:rFonts w:hint="eastAsia" w:ascii="宋体" w:hAnsi="宋体" w:eastAsia="宋体" w:cs="宋体"/>
          <w:sz w:val="24"/>
          <w:szCs w:val="24"/>
        </w:rPr>
        <w:t xml:space="preserve">地址:</w:t>
      </w:r>
      <w:r/>
    </w:p>
    <w:p>
      <w:pPr>
        <w:ind w:firstLine="480"/>
        <w:spacing w:line="360" w:lineRule="exact"/>
        <w:rPr>
          <w:rFonts w:hint="eastAsia" w:ascii="宋体" w:hAnsi="宋体" w:eastAsia="宋体" w:cs="宋体"/>
          <w:sz w:val="24"/>
          <w:szCs w:val="24"/>
        </w:rPr>
      </w:pPr>
      <w:r>
        <w:rPr>
          <w:rFonts w:hint="eastAsia" w:ascii="宋体" w:hAnsi="宋体" w:eastAsia="宋体" w:cs="宋体"/>
          <w:sz w:val="24"/>
          <w:szCs w:val="24"/>
        </w:rPr>
        <w:t xml:space="preserve">联系电话:</w:t>
      </w:r>
      <w:r/>
    </w:p>
    <w:p>
      <w:pPr>
        <w:ind w:firstLine="480"/>
        <w:spacing w:line="360" w:lineRule="exact"/>
        <w:rPr>
          <w:rFonts w:hint="eastAsia" w:ascii="宋体" w:hAnsi="宋体" w:eastAsia="宋体" w:cs="宋体"/>
          <w:sz w:val="24"/>
          <w:szCs w:val="24"/>
        </w:rPr>
      </w:pPr>
      <w:r>
        <w:rPr>
          <w:rFonts w:hint="eastAsia" w:ascii="宋体" w:hAnsi="宋体" w:eastAsia="宋体" w:cs="宋体"/>
          <w:sz w:val="24"/>
          <w:szCs w:val="24"/>
        </w:rPr>
        <w:t xml:space="preserve">乙方:</w:t>
      </w:r>
      <w:r/>
    </w:p>
    <w:p>
      <w:pPr>
        <w:ind w:firstLine="480"/>
        <w:spacing w:line="360" w:lineRule="exact"/>
        <w:rPr>
          <w:rFonts w:hint="eastAsia" w:ascii="宋体" w:hAnsi="宋体" w:eastAsia="宋体" w:cs="宋体"/>
          <w:sz w:val="24"/>
          <w:szCs w:val="24"/>
        </w:rPr>
      </w:pPr>
      <w:r>
        <w:rPr>
          <w:rFonts w:hint="eastAsia" w:ascii="宋体" w:hAnsi="宋体" w:eastAsia="宋体" w:cs="宋体"/>
          <w:sz w:val="24"/>
          <w:szCs w:val="24"/>
        </w:rPr>
        <w:t xml:space="preserve">法定代表人:</w:t>
      </w:r>
      <w:r/>
    </w:p>
    <w:p>
      <w:pPr>
        <w:ind w:firstLine="480"/>
        <w:spacing w:line="360" w:lineRule="exact"/>
        <w:rPr>
          <w:rFonts w:hint="eastAsia" w:ascii="宋体" w:hAnsi="宋体" w:eastAsia="宋体" w:cs="宋体"/>
          <w:sz w:val="24"/>
          <w:szCs w:val="24"/>
        </w:rPr>
      </w:pPr>
      <w:r>
        <w:rPr>
          <w:rFonts w:hint="eastAsia" w:ascii="宋体" w:hAnsi="宋体" w:eastAsia="宋体" w:cs="宋体"/>
          <w:sz w:val="24"/>
          <w:szCs w:val="24"/>
        </w:rPr>
        <w:t xml:space="preserve">地址:</w:t>
      </w:r>
      <w:r/>
    </w:p>
    <w:p>
      <w:pPr>
        <w:ind w:firstLine="480"/>
        <w:spacing w:line="360" w:lineRule="exact"/>
        <w:rPr>
          <w:rFonts w:hint="eastAsia" w:ascii="宋体" w:hAnsi="宋体" w:eastAsia="宋体" w:cs="宋体"/>
          <w:sz w:val="24"/>
          <w:szCs w:val="24"/>
        </w:rPr>
      </w:pPr>
      <w:r>
        <w:rPr>
          <w:rFonts w:hint="eastAsia" w:ascii="宋体" w:hAnsi="宋体" w:eastAsia="宋体" w:cs="宋体"/>
          <w:sz w:val="24"/>
          <w:szCs w:val="24"/>
        </w:rPr>
        <w:t xml:space="preserve">联系电话:</w:t>
      </w:r>
      <w:r/>
    </w:p>
    <w:p>
      <w:pPr>
        <w:ind w:firstLine="480"/>
        <w:spacing w:line="360" w:lineRule="exact"/>
        <w:rPr>
          <w:rFonts w:hint="eastAsia" w:ascii="宋体" w:hAnsi="宋体" w:eastAsia="宋体" w:cs="宋体"/>
          <w:sz w:val="24"/>
          <w:szCs w:val="24"/>
        </w:rPr>
      </w:pPr>
      <w:r>
        <w:rPr>
          <w:rFonts w:hint="eastAsia" w:ascii="宋体" w:hAnsi="宋体" w:eastAsia="宋体" w:cs="宋体"/>
          <w:sz w:val="24"/>
          <w:szCs w:val="24"/>
        </w:rPr>
        <w:t xml:space="preserve">甲、乙双方在自愿、平等、协商一致的基础上，就</w:t>
      </w:r>
      <w:r>
        <w:rPr>
          <w:rFonts w:hint="eastAsia" w:ascii="宋体" w:hAnsi="宋体" w:eastAsia="宋体" w:cs="宋体"/>
          <w:sz w:val="24"/>
          <w:szCs w:val="24"/>
          <w:lang w:val="en-US"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事宜，订立本合同。</w:t>
      </w:r>
      <w:r/>
    </w:p>
    <w:p>
      <w:pPr>
        <w:ind w:firstLine="480"/>
        <w:spacing w:line="360" w:lineRule="exact"/>
        <w:rPr>
          <w:rFonts w:hint="eastAsia" w:ascii="宋体" w:hAnsi="宋体" w:eastAsia="宋体" w:cs="宋体"/>
          <w:sz w:val="24"/>
          <w:szCs w:val="24"/>
        </w:rPr>
      </w:pPr>
      <w:r>
        <w:rPr>
          <w:rFonts w:hint="eastAsia" w:ascii="宋体" w:hAnsi="宋体" w:eastAsia="宋体" w:cs="宋体"/>
          <w:sz w:val="24"/>
          <w:szCs w:val="24"/>
        </w:rPr>
        <w:t xml:space="preserve">第一条:本合同所涉及的物业基本情况</w:t>
      </w:r>
      <w:r/>
    </w:p>
    <w:p>
      <w:pPr>
        <w:ind w:firstLine="480"/>
        <w:spacing w:line="360" w:lineRule="exact"/>
        <w:rPr>
          <w:rFonts w:hint="eastAsia" w:ascii="宋体" w:hAnsi="宋体" w:eastAsia="宋体" w:cs="宋体"/>
          <w:sz w:val="24"/>
          <w:szCs w:val="24"/>
        </w:rPr>
      </w:pPr>
      <w:r>
        <w:rPr>
          <w:rFonts w:hint="eastAsia" w:ascii="宋体" w:hAnsi="宋体" w:eastAsia="宋体" w:cs="宋体"/>
          <w:sz w:val="24"/>
          <w:szCs w:val="24"/>
        </w:rPr>
        <w:t xml:space="preserve">1、物业区域名称:</w:t>
      </w:r>
      <w:r>
        <w:rPr>
          <w:rFonts w:hint="eastAsia" w:ascii="宋体" w:hAnsi="宋体" w:eastAsia="宋体" w:cs="宋体"/>
          <w:sz w:val="24"/>
          <w:szCs w:val="24"/>
          <w:u w:val="single"/>
          <w:lang w:val="en-US" w:eastAsia="zh-CN"/>
        </w:rPr>
        <w:t xml:space="preserve">     </w:t>
      </w:r>
      <w:r/>
    </w:p>
    <w:p>
      <w:pPr>
        <w:ind w:firstLine="480"/>
        <w:spacing w:line="360" w:lineRule="exact"/>
        <w:rPr>
          <w:rFonts w:hint="eastAsia" w:ascii="宋体" w:hAnsi="宋体" w:eastAsia="宋体" w:cs="宋体"/>
          <w:sz w:val="24"/>
          <w:szCs w:val="24"/>
        </w:rPr>
      </w:pPr>
      <w:r>
        <w:rPr>
          <w:rFonts w:hint="eastAsia" w:ascii="宋体" w:hAnsi="宋体" w:eastAsia="宋体" w:cs="宋体"/>
          <w:sz w:val="24"/>
          <w:szCs w:val="24"/>
        </w:rPr>
        <w:t xml:space="preserve">2、物业管理服务类型:</w:t>
      </w:r>
      <w:r>
        <w:rPr>
          <w:rFonts w:hint="eastAsia" w:ascii="宋体" w:hAnsi="宋体" w:eastAsia="宋体" w:cs="宋体"/>
          <w:sz w:val="24"/>
          <w:szCs w:val="24"/>
          <w:u w:val="single"/>
          <w:lang w:val="en-US" w:eastAsia="zh-CN"/>
        </w:rPr>
        <w:t xml:space="preserve">     </w:t>
      </w:r>
      <w:r/>
    </w:p>
    <w:p>
      <w:pPr>
        <w:ind w:firstLine="480"/>
        <w:spacing w:line="360" w:lineRule="exact"/>
        <w:rPr>
          <w:rFonts w:hint="eastAsia" w:ascii="宋体" w:hAnsi="宋体" w:eastAsia="宋体" w:cs="宋体"/>
          <w:sz w:val="24"/>
          <w:szCs w:val="24"/>
        </w:rPr>
      </w:pPr>
      <w:r>
        <w:rPr>
          <w:rFonts w:hint="eastAsia" w:ascii="宋体" w:hAnsi="宋体" w:eastAsia="宋体" w:cs="宋体"/>
          <w:sz w:val="24"/>
          <w:szCs w:val="24"/>
        </w:rPr>
        <w:t xml:space="preserve">3、保洁服务区域面积及管理范围:</w:t>
      </w:r>
      <w:r>
        <w:rPr>
          <w:rFonts w:hint="eastAsia" w:ascii="宋体" w:hAnsi="宋体" w:eastAsia="宋体" w:cs="宋体"/>
          <w:sz w:val="24"/>
          <w:szCs w:val="24"/>
          <w:u w:val="single"/>
          <w:lang w:val="en-US" w:eastAsia="zh-CN"/>
        </w:rPr>
        <w:t xml:space="preserve">      </w:t>
      </w:r>
      <w:r/>
    </w:p>
    <w:p>
      <w:pPr>
        <w:ind w:left="479" w:firstLine="0"/>
        <w:spacing w:line="3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第二条:乙方为本保洁服务管理区域所包含的范围提供下列保洁服务事项。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具体按</w:t>
      </w:r>
      <w:r>
        <w:rPr>
          <w:rFonts w:hint="eastAsia" w:ascii="宋体" w:hAnsi="宋体" w:cs="宋体"/>
          <w:sz w:val="24"/>
          <w:szCs w:val="24"/>
          <w:highlight w:val="none"/>
          <w:lang w:val="en-US" w:eastAsia="zh-CN"/>
        </w:rPr>
        <w:t xml:space="preserve">采购包</w:t>
      </w:r>
      <w:r>
        <w:rPr>
          <w:rFonts w:hint="eastAsia" w:ascii="宋体" w:hAnsi="宋体" w:eastAsia="宋体" w:cs="宋体"/>
          <w:sz w:val="24"/>
          <w:szCs w:val="24"/>
          <w:highlight w:val="none"/>
          <w:lang w:val="en-US" w:eastAsia="zh-CN"/>
        </w:rPr>
        <w:t xml:space="preserve">内容</w:t>
      </w:r>
      <w:r>
        <w:rPr>
          <w:rFonts w:hint="eastAsia" w:ascii="宋体" w:hAnsi="宋体" w:eastAsia="宋体" w:cs="宋体"/>
          <w:sz w:val="24"/>
          <w:szCs w:val="24"/>
          <w:highlight w:val="none"/>
          <w:lang w:eastAsia="zh-CN"/>
        </w:rPr>
        <w:t xml:space="preserve">）</w:t>
      </w:r>
      <w:r/>
    </w:p>
    <w:p>
      <w:pPr>
        <w:ind w:firstLine="480"/>
        <w:spacing w:line="360" w:lineRule="exact"/>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采购包1</w:t>
      </w:r>
      <w:r>
        <w:rPr>
          <w:rFonts w:hint="eastAsia" w:ascii="宋体" w:hAnsi="宋体" w:eastAsia="宋体" w:cs="宋体"/>
          <w:sz w:val="24"/>
          <w:szCs w:val="24"/>
          <w:highlight w:val="none"/>
          <w:lang w:val="en-US" w:eastAsia="zh-CN"/>
        </w:rPr>
        <w:t xml:space="preserve">：</w:t>
      </w:r>
      <w:r/>
    </w:p>
    <w:p>
      <w:pPr>
        <w:ind w:firstLine="480"/>
        <w:spacing w:line="36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上兴镇曹山旅游度假区道路清扫保洁、乱张贴清除、环卫设施清洗保洁等环卫作业服务的</w:t>
      </w:r>
      <w:r>
        <w:rPr>
          <w:rFonts w:hint="eastAsia" w:ascii="宋体" w:hAnsi="宋体" w:eastAsia="宋体" w:cs="宋体"/>
          <w:sz w:val="24"/>
          <w:szCs w:val="24"/>
          <w:highlight w:val="none"/>
          <w:lang w:val="en-US" w:eastAsia="zh-CN"/>
        </w:rPr>
        <w:t xml:space="preserve">相关</w:t>
      </w:r>
      <w:r>
        <w:rPr>
          <w:rFonts w:hint="eastAsia" w:ascii="宋体" w:hAnsi="宋体" w:eastAsia="宋体" w:cs="宋体"/>
          <w:sz w:val="24"/>
          <w:szCs w:val="24"/>
          <w:highlight w:val="none"/>
        </w:rPr>
        <w:t xml:space="preserve">实施</w:t>
      </w:r>
      <w:r>
        <w:rPr>
          <w:rFonts w:hint="eastAsia" w:ascii="宋体" w:hAnsi="宋体" w:eastAsia="宋体" w:cs="宋体"/>
          <w:sz w:val="24"/>
          <w:szCs w:val="24"/>
          <w:highlight w:val="none"/>
          <w:lang w:val="en-US" w:eastAsia="zh-CN"/>
        </w:rPr>
        <w:t xml:space="preserve">事宜。</w:t>
      </w:r>
      <w:r/>
    </w:p>
    <w:p>
      <w:pPr>
        <w:ind w:firstLine="480"/>
        <w:spacing w:line="360" w:lineRule="exact"/>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采购包2</w:t>
      </w:r>
      <w:r>
        <w:rPr>
          <w:rFonts w:hint="eastAsia" w:ascii="宋体" w:hAnsi="宋体" w:eastAsia="宋体" w:cs="宋体"/>
          <w:sz w:val="24"/>
          <w:szCs w:val="24"/>
          <w:highlight w:val="none"/>
          <w:lang w:val="en-US" w:eastAsia="zh-CN"/>
        </w:rPr>
        <w:t xml:space="preserve">：</w:t>
      </w:r>
      <w:r/>
    </w:p>
    <w:p>
      <w:pPr>
        <w:ind w:firstLine="480"/>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(一)保洁服务区共用区域村庄、绿地、水面、道路、广场、停车场的环境保洁服务。</w:t>
      </w:r>
      <w:r/>
    </w:p>
    <w:p>
      <w:pPr>
        <w:ind w:firstLine="480"/>
        <w:spacing w:line="36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(二)村民议事大厅、牛马塘驿站室内环境保洁服务</w:t>
      </w:r>
      <w:r>
        <w:rPr>
          <w:rFonts w:hint="eastAsia" w:ascii="宋体" w:hAnsi="宋体" w:eastAsia="宋体" w:cs="宋体"/>
          <w:sz w:val="24"/>
          <w:szCs w:val="24"/>
          <w:lang w:eastAsia="zh-CN"/>
        </w:rPr>
        <w:t xml:space="preserve">。</w:t>
      </w:r>
      <w:r/>
    </w:p>
    <w:p>
      <w:pPr>
        <w:ind w:firstLine="480"/>
        <w:spacing w:line="360" w:lineRule="exact"/>
        <w:rPr>
          <w:rFonts w:hint="eastAsia" w:ascii="宋体" w:hAnsi="宋体" w:eastAsia="宋体" w:cs="宋体"/>
          <w:sz w:val="24"/>
          <w:szCs w:val="24"/>
        </w:rPr>
      </w:pPr>
      <w:r>
        <w:rPr>
          <w:rFonts w:hint="eastAsia" w:ascii="宋体" w:hAnsi="宋体" w:eastAsia="宋体" w:cs="宋体"/>
          <w:sz w:val="24"/>
          <w:szCs w:val="24"/>
        </w:rPr>
        <w:t xml:space="preserve">(三)保洁服务公共区域的清洁卫生服务，建立各类场所的卫生保洁标准制度并落实，确保管理内容符合甲方及相关第三方的环境卫生要求。</w:t>
      </w:r>
      <w:r/>
    </w:p>
    <w:p>
      <w:pPr>
        <w:ind w:firstLine="480"/>
        <w:spacing w:line="36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(四)保洁服务行为符合相关法律法规</w:t>
      </w:r>
      <w:r>
        <w:rPr>
          <w:rFonts w:hint="eastAsia" w:ascii="宋体" w:hAnsi="宋体" w:eastAsia="宋体" w:cs="宋体"/>
          <w:sz w:val="24"/>
          <w:szCs w:val="24"/>
          <w:lang w:eastAsia="zh-CN"/>
        </w:rPr>
        <w:t xml:space="preserve">。</w:t>
      </w:r>
      <w:r/>
    </w:p>
    <w:p>
      <w:pPr>
        <w:ind w:firstLine="480"/>
        <w:spacing w:line="360" w:lineRule="exact"/>
        <w:rPr>
          <w:rFonts w:hint="eastAsia" w:ascii="宋体" w:hAnsi="宋体" w:eastAsia="宋体" w:cs="宋体"/>
          <w:sz w:val="24"/>
          <w:szCs w:val="24"/>
        </w:rPr>
      </w:pPr>
      <w:r>
        <w:rPr>
          <w:rFonts w:hint="eastAsia" w:ascii="宋体" w:hAnsi="宋体" w:eastAsia="宋体" w:cs="宋体"/>
          <w:sz w:val="24"/>
          <w:szCs w:val="24"/>
        </w:rPr>
        <w:t xml:space="preserve">(五)甲方委托的其他保洁服务管理服务事项:各类公厕、工作室的保洁服务，公共建筑物外围的环境卫生管理。</w:t>
      </w:r>
      <w:r/>
    </w:p>
    <w:p>
      <w:pPr>
        <w:ind w:firstLine="480"/>
        <w:spacing w:line="360" w:lineRule="exact"/>
        <w:rPr>
          <w:rFonts w:hint="eastAsia" w:ascii="宋体" w:hAnsi="宋体" w:eastAsia="宋体" w:cs="宋体"/>
          <w:sz w:val="24"/>
          <w:szCs w:val="24"/>
        </w:rPr>
      </w:pPr>
      <w:r>
        <w:rPr>
          <w:rFonts w:hint="eastAsia" w:ascii="宋体" w:hAnsi="宋体" w:eastAsia="宋体" w:cs="宋体"/>
          <w:sz w:val="24"/>
          <w:szCs w:val="24"/>
        </w:rPr>
        <w:t xml:space="preserve">第三条:合同总价款及其他:</w:t>
      </w:r>
      <w:r/>
    </w:p>
    <w:p>
      <w:pPr>
        <w:ind w:firstLine="480"/>
        <w:spacing w:line="360" w:lineRule="exact"/>
        <w:rPr>
          <w:rFonts w:hint="eastAsia" w:ascii="宋体" w:hAnsi="宋体" w:eastAsia="宋体" w:cs="宋体"/>
          <w:sz w:val="24"/>
          <w:szCs w:val="24"/>
        </w:rPr>
      </w:pPr>
      <w:r>
        <w:rPr>
          <w:rFonts w:hint="eastAsia" w:ascii="宋体" w:hAnsi="宋体" w:eastAsia="宋体" w:cs="宋体"/>
          <w:sz w:val="24"/>
          <w:szCs w:val="24"/>
        </w:rPr>
        <w:t xml:space="preserve">1、全年保洁管理服务(含税)总费用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(大写:</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w:t>
      </w:r>
      <w:r/>
    </w:p>
    <w:p>
      <w:pPr>
        <w:ind w:firstLine="480"/>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2、支付方式:</w:t>
      </w:r>
      <w:r/>
    </w:p>
    <w:p>
      <w:pPr>
        <w:ind w:firstLine="480"/>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扣款方式：因考核达不到规定分值等原因，按《上兴镇环卫作业考评细则》考核扣款后，作为最终的季度作业服务款。</w:t>
      </w:r>
      <w:r/>
    </w:p>
    <w:p>
      <w:pPr>
        <w:ind w:firstLine="480"/>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付款时间：甲方根据考核结果，于次季度第一个月15日前（含当日）向乙方支付作业服务款。</w:t>
      </w:r>
      <w:r/>
    </w:p>
    <w:p>
      <w:pPr>
        <w:ind w:firstLine="480"/>
        <w:spacing w:line="360" w:lineRule="exact"/>
        <w:rPr>
          <w:rFonts w:hint="eastAsia" w:ascii="宋体" w:hAnsi="宋体" w:eastAsia="宋体" w:cs="宋体"/>
          <w:sz w:val="24"/>
          <w:szCs w:val="24"/>
        </w:rPr>
      </w:pPr>
      <w:r>
        <w:rPr>
          <w:rFonts w:hint="eastAsia" w:ascii="宋体" w:hAnsi="宋体" w:eastAsia="宋体" w:cs="宋体"/>
          <w:sz w:val="24"/>
          <w:szCs w:val="24"/>
        </w:rPr>
        <w:t xml:space="preserve">付款方式：以转账方式直接转入乙方银行账户。</w:t>
      </w:r>
      <w:r/>
    </w:p>
    <w:p>
      <w:pPr>
        <w:ind w:firstLine="480"/>
        <w:spacing w:line="360" w:lineRule="exact"/>
        <w:rPr>
          <w:rFonts w:hint="eastAsia" w:ascii="宋体" w:hAnsi="宋体" w:eastAsia="宋体" w:cs="宋体"/>
          <w:sz w:val="24"/>
          <w:szCs w:val="24"/>
        </w:rPr>
      </w:pPr>
      <w:r>
        <w:rPr>
          <w:rFonts w:hint="eastAsia" w:ascii="宋体" w:hAnsi="宋体" w:eastAsia="宋体" w:cs="宋体"/>
          <w:sz w:val="24"/>
          <w:szCs w:val="24"/>
        </w:rPr>
        <w:t xml:space="preserve">第四条:甲方按规定向乙方提供位于服务区域内管理用房 2间，作为保洁管理服务办公用房，在合同履行期间供乙方无偿使用，但乙方不得改变其用途。</w:t>
      </w:r>
      <w:r/>
    </w:p>
    <w:p>
      <w:pPr>
        <w:ind w:firstLine="480"/>
        <w:spacing w:line="360" w:lineRule="exact"/>
        <w:rPr>
          <w:rFonts w:hint="eastAsia" w:ascii="宋体" w:hAnsi="宋体" w:eastAsia="宋体" w:cs="宋体"/>
          <w:sz w:val="24"/>
          <w:szCs w:val="24"/>
        </w:rPr>
      </w:pPr>
      <w:r>
        <w:rPr>
          <w:rFonts w:hint="eastAsia" w:ascii="宋体" w:hAnsi="宋体" w:eastAsia="宋体" w:cs="宋体"/>
          <w:sz w:val="24"/>
          <w:szCs w:val="24"/>
        </w:rPr>
        <w:t xml:space="preserve">第五条:乙方在提供保洁服务过中自行招聘员工并依法支付员工工资保洁服务过程中产生的所有成本支出均由乙方承担，甲方仅按本合同约定向乙方支付服务费。</w:t>
      </w:r>
      <w:r/>
    </w:p>
    <w:p>
      <w:pPr>
        <w:ind w:firstLine="480"/>
        <w:spacing w:line="360" w:lineRule="exact"/>
        <w:rPr>
          <w:rFonts w:hint="eastAsia" w:ascii="宋体" w:hAnsi="宋体" w:eastAsia="宋体" w:cs="宋体"/>
          <w:sz w:val="24"/>
          <w:szCs w:val="24"/>
        </w:rPr>
      </w:pPr>
      <w:r>
        <w:rPr>
          <w:rFonts w:hint="eastAsia" w:ascii="宋体" w:hAnsi="宋体" w:eastAsia="宋体" w:cs="宋体"/>
          <w:sz w:val="24"/>
          <w:szCs w:val="24"/>
        </w:rPr>
        <w:t xml:space="preserve">第六条:甲方相关的权利义务:</w:t>
      </w:r>
      <w:r/>
    </w:p>
    <w:p>
      <w:pPr>
        <w:ind w:firstLine="480"/>
        <w:spacing w:line="360" w:lineRule="exact"/>
        <w:rPr>
          <w:rFonts w:hint="eastAsia" w:ascii="宋体" w:hAnsi="宋体" w:eastAsia="宋体" w:cs="宋体"/>
          <w:sz w:val="24"/>
          <w:szCs w:val="24"/>
        </w:rPr>
      </w:pPr>
      <w:r>
        <w:rPr>
          <w:rFonts w:hint="eastAsia" w:ascii="宋体" w:hAnsi="宋体" w:eastAsia="宋体" w:cs="宋体"/>
          <w:sz w:val="24"/>
          <w:szCs w:val="24"/>
        </w:rPr>
        <w:t xml:space="preserve">(一)应向乙方明示保洁服务管理服务标准及保洁服务要求等事项:甲方若存在要求不明的情况，甲方应随时向乙方明确;在甲方没有明确要求的前提下，乙方应依据本合同要求及保洁服务行业的行业标准尽心、尽责任做好服务管理工作。</w:t>
      </w:r>
      <w:r/>
    </w:p>
    <w:p>
      <w:pPr>
        <w:ind w:firstLine="480"/>
        <w:spacing w:line="360" w:lineRule="exact"/>
        <w:rPr>
          <w:rFonts w:hint="eastAsia" w:ascii="宋体" w:hAnsi="宋体" w:eastAsia="宋体" w:cs="宋体"/>
          <w:sz w:val="24"/>
          <w:szCs w:val="24"/>
        </w:rPr>
      </w:pPr>
      <w:r>
        <w:rPr>
          <w:rFonts w:hint="eastAsia" w:ascii="宋体" w:hAnsi="宋体" w:eastAsia="宋体" w:cs="宋体"/>
          <w:sz w:val="24"/>
          <w:szCs w:val="24"/>
        </w:rPr>
        <w:t xml:space="preserve">(二)若乙方在保洁服务中违反本合同职责约定并应当承担责任的情形，甲方有权从应付的物业服务费中作相应扣除，乙方应无异议。</w:t>
      </w:r>
      <w:r/>
    </w:p>
    <w:p>
      <w:pPr>
        <w:ind w:firstLine="480"/>
        <w:spacing w:line="360" w:lineRule="exact"/>
        <w:rPr>
          <w:rFonts w:hint="eastAsia" w:ascii="宋体" w:hAnsi="宋体" w:eastAsia="宋体" w:cs="宋体"/>
          <w:sz w:val="24"/>
          <w:szCs w:val="24"/>
        </w:rPr>
      </w:pPr>
      <w:r>
        <w:rPr>
          <w:rFonts w:hint="eastAsia" w:ascii="宋体" w:hAnsi="宋体" w:eastAsia="宋体" w:cs="宋体"/>
          <w:sz w:val="24"/>
          <w:szCs w:val="24"/>
        </w:rPr>
        <w:t xml:space="preserve">第七条:乙方相关的权利义务:</w:t>
      </w:r>
      <w:r/>
    </w:p>
    <w:p>
      <w:pPr>
        <w:ind w:firstLine="480"/>
        <w:spacing w:line="360" w:lineRule="exact"/>
        <w:rPr>
          <w:rFonts w:hint="eastAsia" w:ascii="宋体" w:hAnsi="宋体" w:eastAsia="宋体" w:cs="宋体"/>
          <w:sz w:val="24"/>
          <w:szCs w:val="24"/>
        </w:rPr>
      </w:pPr>
      <w:r>
        <w:rPr>
          <w:rFonts w:hint="eastAsia" w:ascii="宋体" w:hAnsi="宋体" w:eastAsia="宋体" w:cs="宋体"/>
          <w:sz w:val="24"/>
          <w:szCs w:val="24"/>
        </w:rPr>
        <w:t xml:space="preserve">(一)设立专门机构负责本保洁服务的日常管理工作，并委派具有岗位资格的人员履行本合同:</w:t>
      </w:r>
      <w:r/>
    </w:p>
    <w:p>
      <w:pPr>
        <w:ind w:firstLine="480"/>
        <w:spacing w:line="360" w:lineRule="exact"/>
        <w:rPr>
          <w:rFonts w:hint="eastAsia" w:ascii="宋体" w:hAnsi="宋体" w:eastAsia="宋体" w:cs="宋体"/>
          <w:sz w:val="24"/>
          <w:szCs w:val="24"/>
        </w:rPr>
      </w:pPr>
      <w:r>
        <w:rPr>
          <w:rFonts w:hint="eastAsia" w:ascii="宋体" w:hAnsi="宋体" w:eastAsia="宋体" w:cs="宋体"/>
          <w:sz w:val="24"/>
          <w:szCs w:val="24"/>
        </w:rPr>
        <w:t xml:space="preserve">(二)根据法律、法规的有关规定和本合同的约定，开展各项保洁服务管理以及其他服务活动，但不得侵害甲方、保洁服务使用人及他人的合法权益，不得利用提供保洁服务管理服务的便利获取不当非法利益。</w:t>
      </w:r>
      <w:r/>
    </w:p>
    <w:p>
      <w:pPr>
        <w:ind w:firstLine="480"/>
        <w:spacing w:line="360" w:lineRule="exact"/>
        <w:rPr>
          <w:rFonts w:hint="eastAsia" w:ascii="宋体" w:hAnsi="宋体" w:eastAsia="宋体" w:cs="宋体"/>
          <w:sz w:val="24"/>
          <w:szCs w:val="24"/>
        </w:rPr>
      </w:pPr>
      <w:r>
        <w:rPr>
          <w:rFonts w:hint="eastAsia" w:ascii="宋体" w:hAnsi="宋体" w:eastAsia="宋体" w:cs="宋体"/>
          <w:sz w:val="24"/>
          <w:szCs w:val="24"/>
        </w:rPr>
        <w:t xml:space="preserve">(三)结合本保洁服务的实际情况，编制保洁服务管理方案、年度管理计划、年度费用概预算和决算报告;</w:t>
      </w:r>
      <w:r/>
    </w:p>
    <w:p>
      <w:pPr>
        <w:ind w:firstLine="480"/>
        <w:spacing w:line="360" w:lineRule="exact"/>
        <w:rPr>
          <w:rFonts w:hint="eastAsia" w:ascii="宋体" w:hAnsi="宋体" w:eastAsia="宋体" w:cs="宋体"/>
          <w:sz w:val="24"/>
          <w:szCs w:val="24"/>
        </w:rPr>
      </w:pPr>
      <w:r>
        <w:rPr>
          <w:rFonts w:hint="eastAsia" w:ascii="宋体" w:hAnsi="宋体" w:eastAsia="宋体" w:cs="宋体"/>
          <w:sz w:val="24"/>
          <w:szCs w:val="24"/>
        </w:rPr>
        <w:t xml:space="preserve">(四)乙方管理区域内的保洁服务若出现人为的损失，则属于乙方管理不到位，甲方有权应视情况要求乙方承担适当责任。</w:t>
      </w:r>
      <w:r/>
    </w:p>
    <w:p>
      <w:pPr>
        <w:ind w:firstLine="480"/>
        <w:spacing w:line="360" w:lineRule="exact"/>
        <w:rPr>
          <w:rFonts w:hint="eastAsia" w:ascii="宋体" w:hAnsi="宋体" w:eastAsia="宋体" w:cs="宋体"/>
          <w:sz w:val="24"/>
          <w:szCs w:val="24"/>
        </w:rPr>
      </w:pPr>
      <w:r>
        <w:rPr>
          <w:rFonts w:hint="eastAsia" w:ascii="宋体" w:hAnsi="宋体" w:eastAsia="宋体" w:cs="宋体"/>
          <w:sz w:val="24"/>
          <w:szCs w:val="24"/>
        </w:rPr>
        <w:t xml:space="preserve">(五)乙方应依法尽责提供保洁服务，若因乙方原因造成甲方或其他集体、个人财产及他人身体损害的，均由乙方承担责任。</w:t>
      </w:r>
      <w:r/>
    </w:p>
    <w:p>
      <w:pPr>
        <w:ind w:firstLine="480"/>
        <w:spacing w:line="360" w:lineRule="exact"/>
        <w:rPr>
          <w:rFonts w:hint="eastAsia" w:ascii="宋体" w:hAnsi="宋体" w:eastAsia="宋体" w:cs="宋体"/>
          <w:sz w:val="24"/>
          <w:szCs w:val="24"/>
        </w:rPr>
      </w:pPr>
      <w:r>
        <w:rPr>
          <w:rFonts w:hint="eastAsia" w:ascii="宋体" w:hAnsi="宋体" w:eastAsia="宋体" w:cs="宋体"/>
          <w:sz w:val="24"/>
          <w:szCs w:val="24"/>
        </w:rPr>
        <w:t xml:space="preserve">第八条:在保洁服务管理服务过程中发生下列事由，乙方不承担责任</w:t>
      </w:r>
      <w:r/>
    </w:p>
    <w:p>
      <w:pPr>
        <w:ind w:firstLine="480"/>
        <w:spacing w:line="360" w:lineRule="exact"/>
        <w:rPr>
          <w:rFonts w:hint="eastAsia" w:ascii="宋体" w:hAnsi="宋体" w:eastAsia="宋体" w:cs="宋体"/>
          <w:sz w:val="24"/>
          <w:szCs w:val="24"/>
        </w:rPr>
      </w:pPr>
      <w:r>
        <w:rPr>
          <w:rFonts w:hint="eastAsia" w:ascii="宋体" w:hAnsi="宋体" w:eastAsia="宋体" w:cs="宋体"/>
          <w:sz w:val="24"/>
          <w:szCs w:val="24"/>
        </w:rPr>
        <w:t xml:space="preserve">(一)因不可抗力因素导致保洁服务管理服务中断的</w:t>
      </w:r>
      <w:r/>
    </w:p>
    <w:p>
      <w:pPr>
        <w:ind w:firstLine="480"/>
        <w:spacing w:line="360" w:lineRule="exact"/>
        <w:rPr>
          <w:rFonts w:hint="eastAsia" w:ascii="宋体" w:hAnsi="宋体" w:eastAsia="宋体" w:cs="宋体"/>
          <w:sz w:val="24"/>
          <w:szCs w:val="24"/>
        </w:rPr>
      </w:pPr>
      <w:r>
        <w:rPr>
          <w:rFonts w:hint="eastAsia" w:ascii="宋体" w:hAnsi="宋体" w:eastAsia="宋体" w:cs="宋体"/>
          <w:sz w:val="24"/>
          <w:szCs w:val="24"/>
        </w:rPr>
        <w:t xml:space="preserve">(二)乙方依据法律法规，在服务管理过程中已履行本合同约定义务但因甲方或社会因素造成损失的。</w:t>
      </w:r>
      <w:r/>
    </w:p>
    <w:p>
      <w:pPr>
        <w:ind w:firstLine="480"/>
        <w:spacing w:line="360" w:lineRule="exact"/>
        <w:rPr>
          <w:rFonts w:hint="eastAsia" w:ascii="宋体" w:hAnsi="宋体" w:eastAsia="宋体" w:cs="宋体"/>
          <w:sz w:val="24"/>
          <w:szCs w:val="24"/>
        </w:rPr>
      </w:pPr>
      <w:r>
        <w:rPr>
          <w:rFonts w:hint="eastAsia" w:ascii="宋体" w:hAnsi="宋体" w:eastAsia="宋体" w:cs="宋体"/>
          <w:sz w:val="24"/>
          <w:szCs w:val="24"/>
        </w:rPr>
        <w:t xml:space="preserve">(三)如甲方因维修养护乙方保洁服务内容中的共用部位、共用设施设备，但未事先告知业主和保洁服务使用人，而造成停水、停电、停止共用设施设备功能使用等造成损失的。</w:t>
      </w:r>
      <w:r/>
    </w:p>
    <w:p>
      <w:pPr>
        <w:ind w:firstLine="480"/>
        <w:spacing w:line="360" w:lineRule="exact"/>
        <w:rPr>
          <w:rFonts w:hint="eastAsia" w:ascii="宋体" w:hAnsi="宋体" w:eastAsia="宋体" w:cs="宋体"/>
          <w:sz w:val="24"/>
          <w:szCs w:val="24"/>
        </w:rPr>
      </w:pPr>
      <w:r>
        <w:rPr>
          <w:rFonts w:hint="eastAsia" w:ascii="宋体" w:hAnsi="宋体" w:eastAsia="宋体" w:cs="宋体"/>
          <w:sz w:val="24"/>
          <w:szCs w:val="24"/>
        </w:rPr>
        <w:t xml:space="preserve">第九条:因甲方违反本合同约定，致使乙方的保洁服务无法达到本合同约定的服务内容和标准的，由甲方赔偿由此给保洁服务使用人造成的损失，不计为乙方过错。</w:t>
      </w:r>
      <w:r/>
    </w:p>
    <w:p>
      <w:pPr>
        <w:ind w:firstLine="480"/>
        <w:spacing w:line="360" w:lineRule="exact"/>
        <w:rPr>
          <w:rFonts w:hint="eastAsia" w:ascii="宋体" w:hAnsi="宋体" w:eastAsia="宋体" w:cs="宋体"/>
          <w:sz w:val="24"/>
          <w:szCs w:val="24"/>
        </w:rPr>
      </w:pPr>
      <w:r>
        <w:rPr>
          <w:rFonts w:hint="eastAsia" w:ascii="宋体" w:hAnsi="宋体" w:eastAsia="宋体" w:cs="宋体"/>
          <w:sz w:val="24"/>
          <w:szCs w:val="24"/>
        </w:rPr>
        <w:t xml:space="preserve">第十条:乙方违反本合同的约定，在本项目范围内擅自收费的，对收费部分，甲方有权计入应支付款项:已经支付的，甲方有权要求乙方返还。</w:t>
      </w:r>
      <w:r/>
    </w:p>
    <w:p>
      <w:pPr>
        <w:ind w:firstLine="480"/>
        <w:spacing w:line="360" w:lineRule="exact"/>
        <w:rPr>
          <w:rFonts w:hint="eastAsia" w:ascii="宋体" w:hAnsi="宋体" w:eastAsia="宋体" w:cs="宋体"/>
          <w:sz w:val="24"/>
          <w:szCs w:val="24"/>
        </w:rPr>
      </w:pPr>
      <w:r>
        <w:rPr>
          <w:rFonts w:hint="eastAsia" w:ascii="宋体" w:hAnsi="宋体" w:eastAsia="宋体" w:cs="宋体"/>
          <w:sz w:val="24"/>
          <w:szCs w:val="24"/>
        </w:rPr>
        <w:t xml:space="preserve">第十一条:甲方违反本合同约定的义务，致使乙方不能完成本合同约定的服务内容和标准的，乙方有权依法解除本合同;造成乙方经济损失的，甲方应予经济赔偿。</w:t>
      </w:r>
      <w:r/>
    </w:p>
    <w:p>
      <w:pPr>
        <w:ind w:firstLine="480"/>
        <w:spacing w:line="360" w:lineRule="exact"/>
        <w:rPr>
          <w:rFonts w:hint="eastAsia" w:ascii="宋体" w:hAnsi="宋体" w:eastAsia="宋体" w:cs="宋体"/>
          <w:sz w:val="24"/>
          <w:szCs w:val="24"/>
        </w:rPr>
      </w:pPr>
      <w:r>
        <w:rPr>
          <w:rFonts w:hint="eastAsia" w:ascii="宋体" w:hAnsi="宋体" w:eastAsia="宋体" w:cs="宋体"/>
          <w:sz w:val="24"/>
          <w:szCs w:val="24"/>
        </w:rPr>
        <w:t xml:space="preserve">第十二条:双方协商一致，可解除本合同，并在 30 日内办理交接手续并结清相关费用。</w:t>
      </w:r>
      <w:r/>
    </w:p>
    <w:p>
      <w:pPr>
        <w:ind w:firstLine="480"/>
        <w:spacing w:line="360" w:lineRule="exact"/>
        <w:rPr>
          <w:rFonts w:hint="eastAsia" w:ascii="宋体" w:hAnsi="宋体" w:eastAsia="宋体" w:cs="宋体"/>
          <w:sz w:val="24"/>
          <w:szCs w:val="24"/>
        </w:rPr>
      </w:pPr>
      <w:r>
        <w:rPr>
          <w:rFonts w:hint="eastAsia" w:ascii="宋体" w:hAnsi="宋体" w:eastAsia="宋体" w:cs="宋体"/>
          <w:sz w:val="24"/>
          <w:szCs w:val="24"/>
        </w:rPr>
        <w:t xml:space="preserve">第十三条:本合同未尽事宜，双方可另行以书面形式签订补充协议第十四条:补充协议及本合同的附件均与本合同具有同等法律效力。本合同、本合同的附件及补充协议中未规定的事宜，均遵照中华人民共和国有关法律、法规和规章执行。</w:t>
      </w:r>
      <w:r/>
    </w:p>
    <w:p>
      <w:pPr>
        <w:ind w:firstLine="480"/>
        <w:spacing w:line="36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第十五条:本合同一式</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份，甲乙双方各执</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份</w:t>
      </w:r>
      <w:r>
        <w:rPr>
          <w:rFonts w:hint="eastAsia" w:ascii="宋体" w:hAnsi="宋体" w:eastAsia="宋体" w:cs="宋体"/>
          <w:sz w:val="24"/>
          <w:szCs w:val="24"/>
          <w:lang w:eastAsia="zh-CN"/>
        </w:rPr>
        <w:t xml:space="preserve">。</w:t>
      </w:r>
      <w:r/>
    </w:p>
    <w:p>
      <w:pPr>
        <w:ind w:firstLine="480"/>
        <w:spacing w:line="360" w:lineRule="exact"/>
        <w:rPr>
          <w:rFonts w:hint="eastAsia" w:ascii="宋体" w:hAnsi="宋体" w:eastAsia="宋体" w:cs="宋体"/>
          <w:sz w:val="24"/>
          <w:szCs w:val="24"/>
        </w:rPr>
      </w:pPr>
      <w:r>
        <w:rPr>
          <w:rFonts w:hint="eastAsia" w:ascii="宋体" w:hAnsi="宋体" w:eastAsia="宋体" w:cs="宋体"/>
          <w:sz w:val="24"/>
          <w:szCs w:val="24"/>
        </w:rPr>
        <w:t xml:space="preserve">第十六条:本合同履行期间，遇不可抗力因素致使合同无法履行的双方应按有关法律规定及时协商处理。</w:t>
      </w:r>
      <w:r/>
    </w:p>
    <w:p>
      <w:pPr>
        <w:ind w:firstLine="480"/>
        <w:spacing w:line="360" w:lineRule="exact"/>
        <w:rPr>
          <w:rFonts w:hint="eastAsia" w:ascii="宋体" w:hAnsi="宋体" w:eastAsia="宋体" w:cs="宋体"/>
          <w:sz w:val="24"/>
          <w:szCs w:val="24"/>
        </w:rPr>
      </w:pPr>
      <w:r>
        <w:rPr>
          <w:rFonts w:hint="eastAsia" w:ascii="宋体" w:hAnsi="宋体" w:eastAsia="宋体" w:cs="宋体"/>
          <w:sz w:val="24"/>
          <w:szCs w:val="24"/>
        </w:rPr>
        <w:t xml:space="preserve">第十七条:本合同在履行中如发生争议，双方可以通过协商方式解决协商不成的，采取按向当地人民法院提起诉讼的方式解决。</w:t>
      </w:r>
      <w:r/>
    </w:p>
    <w:p>
      <w:pPr>
        <w:ind w:firstLine="480"/>
        <w:spacing w:line="360" w:lineRule="exact"/>
        <w:rPr>
          <w:rFonts w:hint="eastAsia" w:ascii="宋体" w:hAnsi="宋体" w:eastAsia="宋体" w:cs="宋体"/>
          <w:sz w:val="24"/>
          <w:szCs w:val="24"/>
        </w:rPr>
      </w:pPr>
      <w:r>
        <w:rPr>
          <w:rFonts w:hint="eastAsia" w:ascii="宋体" w:hAnsi="宋体" w:eastAsia="宋体" w:cs="宋体"/>
          <w:sz w:val="24"/>
          <w:szCs w:val="24"/>
        </w:rPr>
        <w:t xml:space="preserve">第十八条:本合同有效期自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日起至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日止。</w:t>
      </w:r>
      <w:r/>
    </w:p>
    <w:p>
      <w:pPr>
        <w:ind w:firstLine="480"/>
        <w:spacing w:line="360" w:lineRule="exact"/>
        <w:rPr>
          <w:rFonts w:hint="eastAsia" w:ascii="宋体" w:hAnsi="宋体" w:eastAsia="宋体" w:cs="宋体"/>
          <w:sz w:val="24"/>
          <w:szCs w:val="24"/>
        </w:rPr>
      </w:pPr>
      <w:r>
        <w:rPr>
          <w:rFonts w:hint="eastAsia" w:ascii="宋体" w:hAnsi="宋体" w:eastAsia="宋体" w:cs="宋体"/>
          <w:sz w:val="24"/>
          <w:szCs w:val="24"/>
        </w:rPr>
        <w:t xml:space="preserve">第十九条:本合同期满未签订新的合同前，乙方应继续履行按本合同确定的各项义务，继续履行本合同期间的费用参照本合同约定。直至双方重新签订新的物业委托服务合同或在甲方通知乙方与甲方或甲方选聘的其他管理企业完成交接手续并搬出之日止。</w:t>
      </w:r>
      <w:r/>
    </w:p>
    <w:p>
      <w:pPr>
        <w:ind w:firstLine="480"/>
        <w:spacing w:line="360" w:lineRule="exact"/>
        <w:rPr>
          <w:rFonts w:hint="eastAsia" w:ascii="宋体" w:hAnsi="宋体" w:eastAsia="宋体" w:cs="宋体"/>
          <w:sz w:val="24"/>
          <w:szCs w:val="24"/>
        </w:rPr>
      </w:pPr>
      <w:r>
        <w:rPr>
          <w:rFonts w:hint="eastAsia" w:ascii="宋体" w:hAnsi="宋体" w:eastAsia="宋体" w:cs="宋体"/>
          <w:sz w:val="24"/>
          <w:szCs w:val="24"/>
        </w:rPr>
        <w:t xml:space="preserve">第二十条:本合同终止时，乙方应将保洁服务管理用房、保洁服务管理相关资料等属于甲方所有的财物及时完整地移交给甲方;</w:t>
      </w:r>
      <w:r/>
    </w:p>
    <w:p>
      <w:pPr>
        <w:ind w:firstLine="480"/>
        <w:spacing w:line="360" w:lineRule="exact"/>
        <w:rPr>
          <w:rFonts w:hint="eastAsia" w:eastAsia="宋体"/>
          <w:sz w:val="24"/>
          <w:szCs w:val="24"/>
        </w:rPr>
      </w:pPr>
      <w:r>
        <w:rPr>
          <w:rFonts w:hint="eastAsia" w:ascii="宋体" w:hAnsi="宋体" w:eastAsia="宋体" w:cs="宋体"/>
          <w:sz w:val="24"/>
          <w:szCs w:val="24"/>
        </w:rPr>
        <w:t xml:space="preserve">第二十一</w:t>
      </w:r>
      <w:r>
        <w:rPr>
          <w:rFonts w:hint="eastAsia" w:eastAsia="宋体"/>
          <w:sz w:val="24"/>
          <w:szCs w:val="24"/>
        </w:rPr>
        <w:t xml:space="preserve">条:本合同双方签字 / 盖章后生效</w:t>
      </w:r>
      <w:r/>
    </w:p>
    <w:p>
      <w:pPr>
        <w:ind w:firstLine="964"/>
        <w:jc w:val="left"/>
        <w:spacing w:line="4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甲方（印章）             乙方（印章）</w:t>
      </w:r>
      <w:r/>
    </w:p>
    <w:p>
      <w:pPr>
        <w:jc w:val="left"/>
        <w:spacing w:line="4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ind w:firstLine="964"/>
        <w:jc w:val="left"/>
        <w:spacing w:line="4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法定代表人:                           法定代表人:</w:t>
      </w:r>
      <w:r/>
    </w:p>
    <w:p>
      <w:pPr>
        <w:jc w:val="left"/>
        <w:spacing w:line="4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ind w:firstLine="964"/>
        <w:jc w:val="left"/>
        <w:spacing w:line="4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委托代理人（签字）：           委托代理人（签字）：</w:t>
      </w:r>
      <w:r/>
    </w:p>
    <w:p>
      <w:pPr>
        <w:jc w:val="both"/>
        <w:spacing w:before="120" w:line="22" w:lineRule="atLeas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left="420" w:firstLine="527"/>
        <w:jc w:val="both"/>
        <w:spacing w:before="120" w:line="360" w:lineRule="auto"/>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日期：   年  月  日          日期：  年  月  日</w:t>
      </w:r>
      <w:r/>
    </w:p>
    <w:p>
      <w:pPr>
        <w:pStyle w:val="846"/>
        <w:numPr>
          <w:ilvl w:val="0"/>
          <w:numId w:val="0"/>
        </w:numPr>
        <w:jc w:val="both"/>
        <w:keepLines/>
        <w:keepNext/>
        <w:spacing w:before="360" w:after="200"/>
        <w:widowControl w:val="off"/>
        <w:outlineLvl w:val="1"/>
      </w:pPr>
      <w:r/>
      <w:r/>
    </w:p>
    <w:p>
      <w:r/>
      <w:r/>
    </w:p>
    <w:p>
      <w:pPr>
        <w:pStyle w:val="846"/>
      </w:pPr>
      <w:r/>
      <w:r/>
    </w:p>
    <w:p>
      <w:pPr>
        <w:pStyle w:val="846"/>
      </w:pPr>
      <w:r/>
      <w:r/>
    </w:p>
    <w:p>
      <w:r/>
      <w:r/>
    </w:p>
    <w:p>
      <w:pPr>
        <w:pStyle w:val="846"/>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附件一：</w:t>
      </w:r>
      <w:r/>
    </w:p>
    <w:p>
      <w:r/>
      <w:r/>
    </w:p>
    <w:p>
      <w:pPr>
        <w:jc w:val="center"/>
        <w:spacing w:line="440" w:lineRule="exact"/>
        <w:rPr>
          <w:rFonts w:hint="eastAsia" w:ascii="宋体" w:hAnsi="宋体" w:eastAsia="宋体" w:cs="宋体"/>
          <w:b/>
          <w:sz w:val="24"/>
          <w:szCs w:val="24"/>
        </w:rPr>
      </w:pPr>
      <w:r>
        <w:rPr>
          <w:rFonts w:hint="eastAsia" w:ascii="宋体" w:hAnsi="宋体" w:eastAsia="宋体" w:cs="宋体"/>
          <w:b/>
          <w:sz w:val="24"/>
          <w:szCs w:val="24"/>
        </w:rPr>
        <w:t xml:space="preserve">上兴镇环卫作业服务要求</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投标人应具有健全的日常清扫保洁制度、乱张贴清除制度、环卫设施清洗保洁制度、公厕保洁制度、人员管理制度、应急处理制度、自检自查制度。如遇突发事件，采购人有权调用中标人人员和车辆参与应急。作业服务须达到队伍整齐规范、机械设备齐全状态优良、质量优质高效、环境整洁优美的基本要求。</w:t>
      </w:r>
      <w:r/>
    </w:p>
    <w:p>
      <w:pPr>
        <w:ind w:firstLine="487"/>
        <w:spacing w:line="360" w:lineRule="exact"/>
        <w:tabs>
          <w:tab w:val="left" w:pos="0" w:leader="none"/>
          <w:tab w:val="left" w:pos="709" w:leader="none"/>
        </w:tabs>
        <w:rPr>
          <w:rFonts w:hint="eastAsia" w:ascii="宋体" w:hAnsi="宋体" w:eastAsia="宋体" w:cs="宋体"/>
          <w:b/>
          <w:bCs/>
          <w:sz w:val="24"/>
          <w:szCs w:val="24"/>
        </w:rPr>
      </w:pPr>
      <w:r>
        <w:rPr>
          <w:rFonts w:hint="eastAsia" w:ascii="宋体" w:hAnsi="宋体" w:eastAsia="宋体" w:cs="宋体"/>
          <w:b/>
          <w:bCs/>
          <w:sz w:val="24"/>
          <w:szCs w:val="24"/>
        </w:rPr>
        <w:t xml:space="preserve">1.道路人工清扫保洁作业要求</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1）一级道路实行12小时保洁制度（5：00-17：00），其余等级道路实行8小时保洁制度（上午5:30-10:30，下午13:30-16:30）。所有道路每天早上七点前完成一次普扫，其余时段巡回保洁。巡回保洁采用定人定岗巡回保洁与快速巡回保洁相结合的模式。遇重大检查时作业方式按采购人的要求执行；高温季节作业时间由采购人另行通知。</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2）道路清扫应做到“五无五净”，即：无垃圾杂物、无积尘积水、无烟头纸屑、无泼撒污物、无砖石杂草，路面净、边角侧石净、窨井泉眼净、道路隔离设施底部净、环卫设施周边净。道路清扫无死角，无断扫、漏扫，垃圾无漏收，作业区域交界处、清扫道路与背街小巷交接处应扫过3米以上。</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（3）道路保洁应快速及时，巡回不间断，确保路面及垃圾桶、果壳箱周边干净整洁。白色污染及暴露垃圾滞留时间，一、二级道路不得超过20分钟，其余等级道路不得超过30分钟。</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（4）下雨天应及时清扫路沟边、隔离栏下泥沙，保持雨水口畅通。降雪天气应及时组织铲雪作业。道路融雪后，路面杂物、垃圾应及时清扫干净。</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（5）清扫、保洁后的垃圾应及时收集，按指定方式、指定地点倾倒，不得倒入绿化带或果壳箱内，不得焚烧垃圾、树叶。</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（6）因天气或其他特殊原因，机扫车不能作业时，应及时安排人员做好机扫车作业区域的人工清扫工作。</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7）保洁车辆应密闭完好，每周清洗一次，保持干净整洁，无乱堆乱挂乱张贴。作业时保洁车应紧靠路沿侧石停放，不得影响交通和有碍观瞻。作业完毕，扫帚、畚箕等作业工具应统一放入保洁车内，在指定位置停放。</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（8）非机动车应按规定排放在非机动车停放区域；排放应头尾一致，排放整齐；不得占用盲道。</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（9）工作期间，无打堆、串岗、离岗、久坐、闲聊等现象，不得捡拾废品，不做与工作无关的事。</w:t>
      </w:r>
      <w:r/>
    </w:p>
    <w:p>
      <w:pPr>
        <w:ind w:firstLine="482"/>
        <w:rPr>
          <w:rFonts w:hint="eastAsia" w:ascii="宋体" w:hAnsi="宋体" w:eastAsia="宋体" w:cs="宋体"/>
          <w:b/>
          <w:bCs/>
          <w:sz w:val="24"/>
          <w:szCs w:val="24"/>
        </w:rPr>
      </w:pPr>
      <w:r>
        <w:rPr>
          <w:rFonts w:hint="eastAsia" w:ascii="宋体" w:hAnsi="宋体" w:eastAsia="宋体" w:cs="宋体"/>
          <w:b/>
          <w:bCs/>
          <w:sz w:val="24"/>
          <w:szCs w:val="24"/>
        </w:rPr>
        <w:t xml:space="preserve">2.道路机械化清扫保洁作业要求</w:t>
      </w:r>
      <w:r/>
    </w:p>
    <w:p>
      <w:pPr>
        <w:ind w:firstLine="480"/>
        <w:spacing w:line="380" w:lineRule="exact"/>
        <w:rPr>
          <w:rFonts w:hint="eastAsia" w:ascii="宋体" w:hAnsi="宋体" w:eastAsia="宋体" w:cs="宋体"/>
          <w:sz w:val="24"/>
          <w:szCs w:val="24"/>
        </w:rPr>
      </w:pPr>
      <w:r>
        <w:rPr>
          <w:rFonts w:hint="eastAsia" w:ascii="宋体" w:hAnsi="宋体" w:eastAsia="宋体" w:cs="宋体"/>
          <w:sz w:val="24"/>
          <w:szCs w:val="24"/>
        </w:rPr>
        <w:t xml:space="preserve">2.1作业时间安排：</w:t>
      </w:r>
      <w:r/>
    </w:p>
    <w:p>
      <w:pPr>
        <w:ind w:firstLine="480"/>
        <w:spacing w:line="380" w:lineRule="exact"/>
        <w:rPr>
          <w:rFonts w:hint="eastAsia" w:ascii="宋体" w:hAnsi="宋体" w:eastAsia="宋体" w:cs="宋体"/>
          <w:sz w:val="24"/>
          <w:szCs w:val="24"/>
        </w:rPr>
      </w:pPr>
      <w:r>
        <w:rPr>
          <w:rFonts w:hint="eastAsia" w:ascii="宋体" w:hAnsi="宋体" w:eastAsia="宋体" w:cs="宋体"/>
          <w:sz w:val="24"/>
          <w:szCs w:val="24"/>
        </w:rPr>
        <w:t xml:space="preserve">①市政道路环卫机械化作业应充分考虑道路交通状况，日间安排机械化洒水作业，夜间安排机械化清扫作业和冲洗作业，机械化清洗作业可根据实际情况和需要安排在日间或夜间进行。</w:t>
      </w:r>
      <w:r/>
    </w:p>
    <w:p>
      <w:pPr>
        <w:ind w:firstLine="480"/>
        <w:spacing w:line="380" w:lineRule="exact"/>
        <w:rPr>
          <w:rFonts w:hint="eastAsia" w:ascii="宋体" w:hAnsi="宋体" w:eastAsia="宋体" w:cs="宋体"/>
          <w:sz w:val="24"/>
          <w:szCs w:val="24"/>
        </w:rPr>
      </w:pPr>
      <w:r>
        <w:rPr>
          <w:rFonts w:hint="eastAsia" w:ascii="宋体" w:hAnsi="宋体" w:eastAsia="宋体" w:cs="宋体"/>
          <w:sz w:val="24"/>
          <w:szCs w:val="24"/>
        </w:rPr>
        <w:t xml:space="preserve">②每日20:00开始组织冲洗作业，并依次组织清扫和清洗作业（也可安排日间作业），至次日上午8:00前全部撤离作业路段；洒水季节组织车辆在8:00—17:00作业。非核心区域路段的各项作业和一级道路每日的第2次机械化清扫作业，在确保回避交通高峰的情况下，作业时间可根据需要自行组织。</w:t>
      </w:r>
      <w:r/>
    </w:p>
    <w:p>
      <w:pPr>
        <w:ind w:firstLine="480"/>
        <w:spacing w:line="380" w:lineRule="exact"/>
        <w:rPr>
          <w:rFonts w:hint="eastAsia" w:ascii="宋体" w:hAnsi="宋体" w:eastAsia="宋体" w:cs="宋体"/>
          <w:sz w:val="24"/>
          <w:szCs w:val="24"/>
        </w:rPr>
      </w:pPr>
      <w:r>
        <w:rPr>
          <w:rFonts w:hint="eastAsia" w:ascii="宋体" w:hAnsi="宋体" w:eastAsia="宋体" w:cs="宋体"/>
          <w:sz w:val="24"/>
          <w:szCs w:val="24"/>
        </w:rPr>
        <w:t xml:space="preserve">③当气温≤5℃时，洒水作业应暂停，桥面、坡道的冲洗及清洗作业应暂停；当气温≤2℃时，必须停止全部冲洗及清洗作业，同时道路清扫全部采用干扫（不喷水）作业方式。</w:t>
      </w:r>
      <w:r/>
    </w:p>
    <w:p>
      <w:pPr>
        <w:ind w:firstLine="480"/>
        <w:spacing w:line="380" w:lineRule="exact"/>
        <w:rPr>
          <w:rFonts w:hint="eastAsia" w:ascii="宋体" w:hAnsi="宋体" w:eastAsia="宋体" w:cs="宋体"/>
          <w:sz w:val="24"/>
          <w:szCs w:val="24"/>
        </w:rPr>
      </w:pPr>
      <w:r>
        <w:rPr>
          <w:rFonts w:hint="eastAsia" w:ascii="宋体" w:hAnsi="宋体" w:eastAsia="宋体" w:cs="宋体"/>
          <w:sz w:val="24"/>
          <w:szCs w:val="24"/>
        </w:rPr>
        <w:t xml:space="preserve">2.2作业行驶要求： </w:t>
      </w:r>
      <w:r/>
    </w:p>
    <w:p>
      <w:pPr>
        <w:ind w:firstLine="480"/>
        <w:spacing w:line="380" w:lineRule="exact"/>
        <w:rPr>
          <w:rFonts w:hint="eastAsia" w:ascii="宋体" w:hAnsi="宋体" w:eastAsia="宋体" w:cs="宋体"/>
          <w:sz w:val="24"/>
          <w:szCs w:val="24"/>
        </w:rPr>
      </w:pPr>
      <w:r>
        <w:rPr>
          <w:rFonts w:hint="eastAsia" w:ascii="宋体" w:hAnsi="宋体" w:eastAsia="宋体" w:cs="宋体"/>
          <w:sz w:val="24"/>
          <w:szCs w:val="24"/>
        </w:rPr>
        <w:t xml:space="preserve">①清扫作业时选用一挡，行驶速度不超过15公里/小时，副机转速不超过2000转/分，应严格按照放刷、喷水、调整箱体压力和刷盘转速、清扫的顺序进行操作；非特殊气候情况下，避免“干扫”；作业时禁止扫刷、吸嘴不落地；</w:t>
      </w:r>
      <w:r/>
    </w:p>
    <w:p>
      <w:pPr>
        <w:ind w:firstLine="480"/>
        <w:spacing w:line="380" w:lineRule="exact"/>
        <w:rPr>
          <w:rFonts w:hint="eastAsia" w:ascii="宋体" w:hAnsi="宋体" w:eastAsia="宋体" w:cs="宋体"/>
          <w:sz w:val="24"/>
          <w:szCs w:val="24"/>
        </w:rPr>
      </w:pPr>
      <w:r>
        <w:rPr>
          <w:rFonts w:hint="eastAsia" w:ascii="宋体" w:hAnsi="宋体" w:eastAsia="宋体" w:cs="宋体"/>
          <w:sz w:val="24"/>
          <w:szCs w:val="24"/>
        </w:rPr>
        <w:t xml:space="preserve">②冲洗作业时控制车速为15公里/小时，冲洗压力≥300千帕，洒水量0.2～2.0升/平方米，喷水口喷水有力，不得出现断续喷水的现象；</w:t>
      </w:r>
      <w:r/>
    </w:p>
    <w:p>
      <w:pPr>
        <w:ind w:firstLine="480"/>
        <w:spacing w:line="380" w:lineRule="exact"/>
        <w:rPr>
          <w:rFonts w:hint="eastAsia" w:ascii="宋体" w:hAnsi="宋体" w:eastAsia="宋体" w:cs="宋体"/>
          <w:sz w:val="24"/>
          <w:szCs w:val="24"/>
        </w:rPr>
      </w:pPr>
      <w:r>
        <w:rPr>
          <w:rFonts w:hint="eastAsia" w:ascii="宋体" w:hAnsi="宋体" w:eastAsia="宋体" w:cs="宋体"/>
          <w:sz w:val="24"/>
          <w:szCs w:val="24"/>
        </w:rPr>
        <w:t xml:space="preserve">③洒水作业时控制车速不超过20公里/小时，喷水口喷水有力，不得出现断续喷水的现象，洒水作业应覆盖道路的所有机动车道，不得漏洒，作业后路面无干燥路段和片区；</w:t>
      </w:r>
      <w:r/>
    </w:p>
    <w:p>
      <w:pPr>
        <w:ind w:firstLine="480"/>
        <w:spacing w:line="380" w:lineRule="exact"/>
        <w:rPr>
          <w:rFonts w:hint="eastAsia" w:ascii="宋体" w:hAnsi="宋体" w:eastAsia="宋体" w:cs="宋体"/>
          <w:sz w:val="24"/>
          <w:szCs w:val="24"/>
        </w:rPr>
      </w:pPr>
      <w:r>
        <w:rPr>
          <w:rFonts w:hint="eastAsia" w:ascii="宋体" w:hAnsi="宋体" w:eastAsia="宋体" w:cs="宋体"/>
          <w:sz w:val="24"/>
          <w:szCs w:val="24"/>
        </w:rPr>
        <w:t xml:space="preserve">④清洗作业车速不超过10公里/小时，副发动机转速控制在1800转/分（正常档），路面较脏时，副发动机转速控制在2200转/分（强洗档），并应开双侧吸嘴喷杆喷水。</w:t>
      </w:r>
      <w:r/>
    </w:p>
    <w:p>
      <w:pPr>
        <w:ind w:firstLine="480"/>
        <w:spacing w:line="380" w:lineRule="exact"/>
        <w:rPr>
          <w:rFonts w:hint="eastAsia" w:ascii="宋体" w:hAnsi="宋体" w:eastAsia="宋体" w:cs="宋体"/>
          <w:sz w:val="24"/>
          <w:szCs w:val="24"/>
        </w:rPr>
      </w:pPr>
      <w:r>
        <w:rPr>
          <w:rFonts w:hint="eastAsia" w:ascii="宋体" w:hAnsi="宋体" w:eastAsia="宋体" w:cs="宋体"/>
          <w:sz w:val="24"/>
          <w:szCs w:val="24"/>
        </w:rPr>
        <w:t xml:space="preserve">⑤作业时须开启警示灯和示宽灯，夜间禁鸣，洒水作业日间必须播放提示音乐。</w:t>
      </w:r>
      <w:r/>
    </w:p>
    <w:p>
      <w:pPr>
        <w:ind w:firstLine="480"/>
        <w:spacing w:line="380" w:lineRule="exact"/>
        <w:rPr>
          <w:rFonts w:hint="eastAsia" w:ascii="宋体" w:hAnsi="宋体" w:eastAsia="宋体" w:cs="宋体"/>
          <w:sz w:val="24"/>
          <w:szCs w:val="24"/>
        </w:rPr>
      </w:pPr>
      <w:r>
        <w:rPr>
          <w:rFonts w:hint="eastAsia" w:ascii="宋体" w:hAnsi="宋体" w:eastAsia="宋体" w:cs="宋体"/>
          <w:sz w:val="24"/>
          <w:szCs w:val="24"/>
        </w:rPr>
        <w:t xml:space="preserve">⑥所有机械化作业必须双侧同时开启，严禁单边作业（除特殊情况下的冲洗作业）。</w:t>
      </w:r>
      <w:r/>
    </w:p>
    <w:p>
      <w:pPr>
        <w:ind w:firstLine="480"/>
        <w:spacing w:line="380" w:lineRule="exact"/>
        <w:rPr>
          <w:rFonts w:hint="eastAsia" w:ascii="宋体" w:hAnsi="宋体" w:eastAsia="宋体" w:cs="宋体"/>
          <w:sz w:val="24"/>
          <w:szCs w:val="24"/>
        </w:rPr>
      </w:pPr>
      <w:r>
        <w:rPr>
          <w:rFonts w:hint="eastAsia" w:ascii="宋体" w:hAnsi="宋体" w:eastAsia="宋体" w:cs="宋体"/>
          <w:sz w:val="24"/>
          <w:szCs w:val="24"/>
        </w:rPr>
        <w:t xml:space="preserve">⑦作业人员必须按照规定的时间、线路、频次和作业模式作业；作业时应穿戴统一的、具有明显警示标识的工作服，并保持着装整洁。不得有滞留马路和加油加水超时等情况。</w:t>
      </w:r>
      <w:r/>
    </w:p>
    <w:p>
      <w:pPr>
        <w:ind w:firstLine="480"/>
        <w:spacing w:line="380" w:lineRule="exact"/>
        <w:rPr>
          <w:rFonts w:hint="eastAsia" w:ascii="宋体" w:hAnsi="宋体" w:eastAsia="宋体" w:cs="宋体"/>
          <w:sz w:val="24"/>
          <w:szCs w:val="24"/>
        </w:rPr>
      </w:pPr>
      <w:r>
        <w:rPr>
          <w:rFonts w:hint="eastAsia" w:ascii="宋体" w:hAnsi="宋体" w:eastAsia="宋体" w:cs="宋体"/>
          <w:sz w:val="24"/>
          <w:szCs w:val="24"/>
        </w:rPr>
        <w:t xml:space="preserve">2.3机械化作业车辆容貌要求：</w:t>
      </w:r>
      <w:r/>
    </w:p>
    <w:p>
      <w:pPr>
        <w:ind w:firstLine="480"/>
        <w:spacing w:line="380" w:lineRule="exact"/>
        <w:rPr>
          <w:rFonts w:hint="eastAsia" w:ascii="宋体" w:hAnsi="宋体" w:eastAsia="宋体" w:cs="宋体"/>
          <w:sz w:val="24"/>
          <w:szCs w:val="24"/>
        </w:rPr>
      </w:pPr>
      <w:r>
        <w:rPr>
          <w:rFonts w:hint="eastAsia" w:ascii="宋体" w:hAnsi="宋体" w:eastAsia="宋体" w:cs="宋体"/>
          <w:sz w:val="24"/>
          <w:szCs w:val="24"/>
        </w:rPr>
        <w:t xml:space="preserve">①车体整洁明亮、各种配件齐全、使用功能齐备，各项作业装置保持完好、有效。车身如有宣传标贴，须保持清洁完整。</w:t>
      </w:r>
      <w:r/>
    </w:p>
    <w:p>
      <w:pPr>
        <w:ind w:firstLine="480"/>
        <w:spacing w:line="380" w:lineRule="exact"/>
        <w:rPr>
          <w:rFonts w:hint="eastAsia" w:ascii="宋体" w:hAnsi="宋体" w:eastAsia="宋体" w:cs="宋体"/>
          <w:sz w:val="24"/>
          <w:szCs w:val="24"/>
        </w:rPr>
      </w:pPr>
      <w:r>
        <w:rPr>
          <w:rFonts w:hint="eastAsia" w:ascii="宋体" w:hAnsi="宋体" w:eastAsia="宋体" w:cs="宋体"/>
          <w:sz w:val="24"/>
          <w:szCs w:val="24"/>
        </w:rPr>
        <w:t xml:space="preserve">②应保持车牌及车身标志清晰、齐全，车体无破损、无锈蚀、无污物、无灰垢。车尾应有反光标志（或加贴反光膜）。车体杜绝吊挂、抛洒污物，滴漏水、油液体等现象。</w:t>
      </w:r>
      <w:r/>
    </w:p>
    <w:p>
      <w:pPr>
        <w:ind w:firstLine="480"/>
        <w:spacing w:line="380" w:lineRule="exact"/>
        <w:rPr>
          <w:rFonts w:hint="eastAsia" w:ascii="宋体" w:hAnsi="宋体" w:eastAsia="宋体" w:cs="宋体"/>
          <w:sz w:val="24"/>
          <w:szCs w:val="24"/>
        </w:rPr>
      </w:pPr>
      <w:r>
        <w:rPr>
          <w:rFonts w:hint="eastAsia" w:ascii="宋体" w:hAnsi="宋体" w:eastAsia="宋体" w:cs="宋体"/>
          <w:sz w:val="24"/>
          <w:szCs w:val="24"/>
        </w:rPr>
        <w:t xml:space="preserve">2.4调度和管理要求：</w:t>
      </w:r>
      <w:r/>
    </w:p>
    <w:p>
      <w:pPr>
        <w:ind w:firstLine="480"/>
        <w:spacing w:line="380" w:lineRule="exact"/>
        <w:rPr>
          <w:rFonts w:hint="eastAsia" w:ascii="宋体" w:hAnsi="宋体" w:eastAsia="宋体" w:cs="宋体"/>
          <w:sz w:val="24"/>
          <w:szCs w:val="24"/>
        </w:rPr>
      </w:pPr>
      <w:r>
        <w:rPr>
          <w:rFonts w:hint="eastAsia" w:ascii="宋体" w:hAnsi="宋体" w:eastAsia="宋体" w:cs="宋体"/>
          <w:sz w:val="24"/>
          <w:szCs w:val="24"/>
        </w:rPr>
        <w:t xml:space="preserve">①科学合理调配作业车辆分布比例及运行。每班作业应按规定填写出车日志，作业车辆应在规定地点取水、清洁污物箱。</w:t>
      </w:r>
      <w:r/>
    </w:p>
    <w:p>
      <w:pPr>
        <w:ind w:firstLine="480"/>
        <w:spacing w:line="380" w:lineRule="exact"/>
        <w:rPr>
          <w:rFonts w:hint="eastAsia" w:ascii="宋体" w:hAnsi="宋体" w:eastAsia="宋体" w:cs="宋体"/>
          <w:sz w:val="24"/>
          <w:szCs w:val="24"/>
        </w:rPr>
      </w:pPr>
      <w:r>
        <w:rPr>
          <w:rFonts w:hint="eastAsia" w:ascii="宋体" w:hAnsi="宋体" w:eastAsia="宋体" w:cs="宋体"/>
          <w:sz w:val="24"/>
          <w:szCs w:val="24"/>
        </w:rPr>
        <w:t xml:space="preserve">②建立健全车辆维修、保养和检查制度，必须确保出车车况良好。</w:t>
      </w:r>
      <w:r/>
    </w:p>
    <w:p>
      <w:pPr>
        <w:ind w:firstLine="480"/>
        <w:spacing w:line="380" w:lineRule="exact"/>
        <w:rPr>
          <w:rFonts w:hint="eastAsia" w:ascii="宋体" w:hAnsi="宋体" w:eastAsia="宋体" w:cs="宋体"/>
          <w:sz w:val="24"/>
          <w:szCs w:val="24"/>
        </w:rPr>
      </w:pPr>
      <w:r>
        <w:rPr>
          <w:rFonts w:hint="eastAsia" w:ascii="宋体" w:hAnsi="宋体" w:eastAsia="宋体" w:cs="宋体"/>
          <w:sz w:val="24"/>
          <w:szCs w:val="24"/>
        </w:rPr>
        <w:t xml:space="preserve">③如遇死角、深沟、道路两侧行道树过低过近、垃圾杂物体积过长过大、落叶季节、窨井泉眼不畅通、有杂物或被堵塞等工况无法满足环卫机械化作业条件时，需组织人工配合作业。</w:t>
      </w:r>
      <w:r/>
    </w:p>
    <w:p>
      <w:pPr>
        <w:ind w:firstLine="487"/>
        <w:spacing w:line="360" w:lineRule="exact"/>
        <w:tabs>
          <w:tab w:val="left" w:pos="0" w:leader="none"/>
          <w:tab w:val="left" w:pos="709" w:leader="none"/>
        </w:tabs>
        <w:rPr>
          <w:rFonts w:hint="eastAsia" w:ascii="宋体" w:hAnsi="宋体" w:eastAsia="宋体" w:cs="宋体"/>
          <w:b/>
          <w:bCs/>
          <w:sz w:val="24"/>
          <w:szCs w:val="24"/>
        </w:rPr>
      </w:pPr>
      <w:r>
        <w:rPr>
          <w:rFonts w:hint="eastAsia" w:ascii="宋体" w:hAnsi="宋体" w:eastAsia="宋体" w:cs="宋体"/>
          <w:b/>
          <w:bCs/>
          <w:sz w:val="24"/>
          <w:szCs w:val="24"/>
        </w:rPr>
        <w:t xml:space="preserve">3.乱张贴清除作业要求</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（1）各保洁区域内的小广告、乱张贴、乱涂写应当天发现当天清除，存留时间不得超过6小时；对巡查过程中发现的小广告、乱张贴、乱涂写，必须在4小时内予以清除。</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2）墙砖、马赛克等硬质表面的涂写张贴，应采用油漆溶解剂或水浸、刮除等办法予以清除干净，不留痕迹；外表面为涂料的，应采用相同颜色或相近的涂料，整体有规则地予以同色覆盖，要求覆盖面横平竖直，不得歪斜；</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（3）在供电、邮电、广电、照明、交通等设施上的乱张贴应以清洗、铲除为主，如不能彻底清洗的才可以覆盖，且必须同色覆盖，尽量保持原貌；</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（4）乱张贴清理后的纸屑必须及时清理干净，做到工完场清。</w:t>
      </w:r>
      <w:r/>
    </w:p>
    <w:p>
      <w:pPr>
        <w:ind w:firstLine="487"/>
        <w:spacing w:line="360" w:lineRule="exact"/>
        <w:tabs>
          <w:tab w:val="left" w:pos="0" w:leader="none"/>
          <w:tab w:val="left" w:pos="709" w:leader="none"/>
        </w:tabs>
        <w:rPr>
          <w:rFonts w:hint="eastAsia" w:ascii="宋体" w:hAnsi="宋体" w:eastAsia="宋体" w:cs="宋体"/>
          <w:b/>
          <w:bCs/>
          <w:sz w:val="24"/>
          <w:szCs w:val="24"/>
        </w:rPr>
      </w:pPr>
      <w:r>
        <w:rPr>
          <w:rFonts w:hint="eastAsia" w:ascii="宋体" w:hAnsi="宋体" w:eastAsia="宋体" w:cs="宋体"/>
          <w:b/>
          <w:bCs/>
          <w:sz w:val="24"/>
          <w:szCs w:val="24"/>
        </w:rPr>
        <w:t xml:space="preserve">4.公共厕所保洁作业要求</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（1）公厕应本着方便市民的原则严格遵守开放时间。一般情况下，公厕不得停用，确因特殊情况需临时停用的，需摆放或张贴停用告示，告知市民。</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（2）保洁人员应礼貌待人，主动照顾老弱病残孕等人员；按时作业，作业时应在厕外设作业标志，在厕内不要干扰用厕者；作业完毕后清洗好保洁工具，并妥善保管，不得有碍厕容。</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（3）公厕保洁标准应符合下列规定：</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①实行每天二冲洗二保洁制度，上午7：30前完成第一遍冲洗，8：00—10：30巡回保洁；下午13：00—16：30完成第二遍冲洗及巡回保洁。</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②公厕内采光、照明和通风应良好，无明显臭味；墙面、天花板、门窗和隔离板应无积灰、污迹、蛛网，无乱涂乱画；公厕内外墙面应整洁，粉刷应无剥落；地面光洁，无积水。</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③座便器、蹲位应整洁，大便槽两侧应无粪便污物，槽内无积粪；小便槽(斗)应无水锈、尿垢、垃圾，基本无臭味；沟眼、管道保持畅通。</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④公厕内照明灯具、洗手器具、镜子、挂衣钩、烘手器、冲水设备等应完好，无积灰、污物。</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⑤公厕外环境应整洁，无杂物乱堆，保洁工具应放置整齐。公厕四周3—5米范围内，应无垃圾、粪便、污水等污物；无私搭乱建，无杂物，无乱挂、乱堆、乱放现象。</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⑥公厕标志齐全，公厕设有醒目标志牌，方便群众入厕；发现设施破损或遗失后应立即报修；公厕下水道堵塞时应于半天内疏通到位。</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⑦蝇蚊孳生季节应定时喷洒灭蚊蝇药物，有效控制蝇蛆孳生。</w:t>
      </w:r>
      <w:r/>
    </w:p>
    <w:p>
      <w:pPr>
        <w:ind w:firstLine="487"/>
        <w:spacing w:line="360" w:lineRule="exact"/>
        <w:tabs>
          <w:tab w:val="left" w:pos="0" w:leader="none"/>
          <w:tab w:val="left" w:pos="709" w:leader="none"/>
        </w:tabs>
        <w:rPr>
          <w:rFonts w:hint="eastAsia" w:ascii="宋体" w:hAnsi="宋体" w:eastAsia="宋体" w:cs="宋体"/>
          <w:b/>
          <w:bCs/>
          <w:sz w:val="24"/>
          <w:szCs w:val="24"/>
        </w:rPr>
      </w:pPr>
      <w:r>
        <w:rPr>
          <w:rFonts w:hint="eastAsia" w:ascii="宋体" w:hAnsi="宋体" w:eastAsia="宋体" w:cs="宋体"/>
          <w:b/>
          <w:bCs/>
          <w:sz w:val="24"/>
          <w:szCs w:val="24"/>
        </w:rPr>
        <w:t xml:space="preserve">5.环卫设施清洗作业要求</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（1）垃圾亭、垃圾房、垃圾桶、果壳箱实行一日一清洗制度，遇检查活动时，应巡回保洁。</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2）果壳箱（垃圾桶）外表面应整洁干净，无污迹、无乱刻画、无乱张贴，垃圾桶内壁应清洗至沿口下三分之一处；设置点周围地面应干净整洁无污迹；垃圾房（亭）内外地面应整洁，无散落垃圾和堆积杂物，无积留污水。内外墙面无污迹、无乱刻画、乱张贴。</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（3）发现设施损坏，应及时报修。</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（4）非机动车黄色停车区域内车辆，应按规定摆放，摆放应头尾一致，停放整齐；不得占用盲道。</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r>
      <w:r/>
    </w:p>
    <w:p>
      <w:pPr>
        <w:pStyle w:val="846"/>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846"/>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846"/>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846"/>
        <w:rPr>
          <w:rFonts w:hint="eastAsia"/>
        </w:rPr>
      </w:pPr>
      <w:r>
        <w:rPr>
          <w:rFonts w:hint="eastAsia"/>
        </w:rPr>
      </w:r>
      <w:r/>
    </w:p>
    <w:p>
      <w:pPr>
        <w:rPr>
          <w:rFonts w:hint="eastAsia"/>
        </w:rPr>
      </w:pPr>
      <w:r>
        <w:rPr>
          <w:rFonts w:hint="eastAsia"/>
        </w:rPr>
      </w:r>
      <w:r/>
    </w:p>
    <w:p>
      <w:pPr>
        <w:pStyle w:val="846"/>
        <w:rPr>
          <w:rFonts w:hint="eastAsia"/>
        </w:rPr>
      </w:pPr>
      <w:r>
        <w:rPr>
          <w:rFonts w:hint="eastAsia"/>
        </w:rPr>
      </w:r>
      <w:r/>
    </w:p>
    <w:p>
      <w:pPr>
        <w:rPr>
          <w:rFonts w:hint="eastAsia"/>
        </w:rPr>
      </w:pPr>
      <w:r>
        <w:rPr>
          <w:rFonts w:hint="eastAsia"/>
        </w:rPr>
      </w:r>
      <w:r/>
    </w:p>
    <w:p>
      <w:pPr>
        <w:pStyle w:val="846"/>
        <w:rPr>
          <w:rFonts w:hint="eastAsia"/>
        </w:rPr>
      </w:pPr>
      <w:r>
        <w:rPr>
          <w:rFonts w:hint="eastAsia"/>
        </w:rPr>
      </w:r>
      <w:r/>
    </w:p>
    <w:p>
      <w:pPr>
        <w:rPr>
          <w:rFonts w:hint="eastAsia"/>
        </w:rPr>
      </w:pPr>
      <w:r>
        <w:rPr>
          <w:rFonts w:hint="eastAsia"/>
        </w:rPr>
      </w:r>
      <w:r/>
    </w:p>
    <w:p>
      <w:pPr>
        <w:pStyle w:val="846"/>
        <w:rPr>
          <w:rFonts w:hint="eastAsia"/>
        </w:rPr>
      </w:pPr>
      <w:r>
        <w:rPr>
          <w:rFonts w:hint="eastAsia"/>
        </w:rPr>
      </w:r>
      <w:r/>
    </w:p>
    <w:p>
      <w:pPr>
        <w:rPr>
          <w:rFonts w:hint="eastAsia" w:ascii="宋体" w:hAnsi="宋体" w:eastAsia="宋体" w:cs="宋体"/>
          <w:sz w:val="24"/>
          <w:szCs w:val="24"/>
        </w:rPr>
      </w:pPr>
      <w:r>
        <w:rPr>
          <w:rFonts w:hint="eastAsia" w:ascii="宋体" w:hAnsi="宋体" w:eastAsia="宋体" w:cs="宋体"/>
          <w:sz w:val="24"/>
          <w:szCs w:val="24"/>
        </w:rPr>
      </w:r>
      <w:r>
        <w:rPr>
          <w:rFonts w:hint="eastAsia" w:ascii="宋体" w:hAnsi="宋体" w:eastAsia="宋体" w:cs="宋体"/>
          <w:sz w:val="24"/>
          <w:szCs w:val="24"/>
        </w:rPr>
      </w:r>
    </w:p>
    <w:p>
      <w:pPr>
        <w:rPr>
          <w:rFonts w:hint="eastAsia" w:ascii="宋体" w:hAnsi="宋体" w:eastAsia="宋体" w:cs="宋体"/>
          <w:sz w:val="24"/>
          <w:szCs w:val="24"/>
        </w:rPr>
      </w:pPr>
      <w:r>
        <w:rPr>
          <w:rFonts w:hint="eastAsia" w:ascii="宋体" w:hAnsi="宋体" w:eastAsia="宋体" w:cs="宋体"/>
          <w:sz w:val="24"/>
          <w:szCs w:val="24"/>
        </w:rPr>
      </w:r>
      <w:r>
        <w:rPr>
          <w:rFonts w:hint="eastAsia" w:ascii="宋体" w:hAnsi="宋体" w:eastAsia="宋体" w:cs="宋体"/>
          <w:sz w:val="24"/>
          <w:szCs w:val="24"/>
        </w:rPr>
      </w:r>
    </w:p>
    <w:p>
      <w:pPr>
        <w:rPr>
          <w:rFonts w:hint="eastAsia" w:ascii="宋体" w:hAnsi="宋体" w:eastAsia="宋体" w:cs="宋体"/>
          <w:sz w:val="24"/>
          <w:szCs w:val="24"/>
        </w:rPr>
      </w:pPr>
      <w:r>
        <w:rPr>
          <w:rFonts w:hint="eastAsia" w:ascii="宋体" w:hAnsi="宋体" w:eastAsia="宋体" w:cs="宋体"/>
          <w:sz w:val="24"/>
          <w:szCs w:val="24"/>
        </w:rPr>
      </w:r>
      <w:r>
        <w:rPr>
          <w:rFonts w:hint="eastAsia" w:ascii="宋体" w:hAnsi="宋体" w:eastAsia="宋体" w:cs="宋体"/>
          <w:sz w:val="24"/>
          <w:szCs w:val="24"/>
        </w:rPr>
      </w:r>
    </w:p>
    <w:p>
      <w:pPr>
        <w:rPr>
          <w:rFonts w:hint="eastAsia" w:ascii="宋体" w:hAnsi="宋体" w:eastAsia="宋体" w:cs="宋体"/>
          <w:sz w:val="24"/>
          <w:szCs w:val="24"/>
        </w:rPr>
      </w:pPr>
      <w:r>
        <w:rPr>
          <w:rFonts w:hint="eastAsia" w:ascii="宋体" w:hAnsi="宋体" w:eastAsia="宋体" w:cs="宋体"/>
          <w:sz w:val="24"/>
          <w:szCs w:val="24"/>
        </w:rPr>
      </w:r>
      <w:r/>
    </w:p>
    <w:p>
      <w:pPr>
        <w:pStyle w:val="846"/>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附件二：</w:t>
      </w:r>
      <w:r/>
    </w:p>
    <w:p>
      <w:pPr>
        <w:ind w:firstLine="284"/>
        <w:jc w:val="center"/>
        <w:spacing w:line="400" w:lineRule="exact"/>
        <w:rPr>
          <w:rFonts w:hint="eastAsia" w:ascii="宋体" w:hAnsi="宋体" w:eastAsia="宋体" w:cs="宋体"/>
          <w:b/>
          <w:sz w:val="24"/>
          <w:szCs w:val="24"/>
        </w:rPr>
      </w:pPr>
      <w:r>
        <w:rPr>
          <w:rFonts w:hint="eastAsia" w:ascii="宋体" w:hAnsi="宋体" w:eastAsia="宋体" w:cs="宋体"/>
          <w:b/>
          <w:sz w:val="24"/>
          <w:szCs w:val="24"/>
        </w:rPr>
      </w:r>
      <w:r/>
    </w:p>
    <w:p>
      <w:pPr>
        <w:jc w:val="center"/>
        <w:spacing w:line="440" w:lineRule="exact"/>
        <w:rPr>
          <w:rFonts w:hint="eastAsia" w:ascii="宋体" w:hAnsi="宋体" w:eastAsia="宋体" w:cs="宋体"/>
          <w:b/>
          <w:sz w:val="24"/>
          <w:szCs w:val="24"/>
        </w:rPr>
      </w:pPr>
      <w:r>
        <w:rPr>
          <w:rFonts w:hint="eastAsia" w:ascii="宋体" w:hAnsi="宋体" w:eastAsia="宋体" w:cs="宋体"/>
          <w:b/>
          <w:sz w:val="24"/>
          <w:szCs w:val="24"/>
        </w:rPr>
        <w:t xml:space="preserve">上兴镇环卫作业考核细则</w:t>
      </w:r>
      <w:r/>
    </w:p>
    <w:p>
      <w:pPr>
        <w:spacing w:line="400" w:lineRule="exact"/>
        <w:rPr>
          <w:rFonts w:hint="eastAsia" w:ascii="宋体" w:hAnsi="宋体" w:eastAsia="宋体" w:cs="宋体"/>
          <w:b/>
          <w:sz w:val="24"/>
          <w:szCs w:val="24"/>
        </w:rPr>
      </w:pPr>
      <w:r>
        <w:rPr>
          <w:rFonts w:hint="eastAsia" w:ascii="宋体" w:hAnsi="宋体" w:eastAsia="宋体" w:cs="宋体"/>
          <w:b/>
          <w:sz w:val="24"/>
          <w:szCs w:val="24"/>
        </w:rPr>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环卫作业考核实行百分制：环卫作业90分，安全文明生产5分，规范用工5分。同时，根据常州市、溧阳市、上兴镇对集镇长效综合管理考核结果、媒体曝光及群众投诉等情况在总分中直接扣减。</w:t>
      </w:r>
      <w:r/>
    </w:p>
    <w:p>
      <w:pPr>
        <w:ind w:firstLine="487"/>
        <w:spacing w:line="360" w:lineRule="exact"/>
        <w:tabs>
          <w:tab w:val="left" w:pos="0" w:leader="none"/>
          <w:tab w:val="left" w:pos="709" w:leader="none"/>
        </w:tabs>
        <w:rPr>
          <w:rFonts w:hint="eastAsia" w:ascii="宋体" w:hAnsi="宋体" w:eastAsia="宋体" w:cs="宋体"/>
          <w:b/>
          <w:bCs/>
          <w:sz w:val="24"/>
          <w:szCs w:val="24"/>
        </w:rPr>
      </w:pPr>
      <w:r>
        <w:rPr>
          <w:rFonts w:hint="eastAsia" w:ascii="宋体" w:hAnsi="宋体" w:eastAsia="宋体" w:cs="宋体"/>
          <w:b/>
          <w:bCs/>
          <w:sz w:val="24"/>
          <w:szCs w:val="24"/>
        </w:rPr>
        <w:t xml:space="preserve">1.环卫作业90分</w:t>
      </w:r>
      <w:r>
        <w:rPr>
          <w:rFonts w:hint="eastAsia" w:ascii="宋体" w:hAnsi="宋体" w:eastAsia="宋体" w:cs="宋体"/>
          <w:b/>
          <w:bCs/>
          <w:sz w:val="24"/>
          <w:szCs w:val="24"/>
        </w:rPr>
        <w:tab/>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（1）道路保洁有下列情形之一的，每项或每处扣1分。</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①路面清扫不干净，有边脚泥或灰沙的。</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②道路漏扫，垃圾漏收的。</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③道路交界处未按规定扫通的。</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④窨井泉眼未通的。</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⑤乱倒清扫垃圾，焚烧垃圾的。</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⑥降雪天气未及时组织铲雪作业，融雪后未及时清扫干净的。</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⑦路面有废弃物（包括每瓜皮果壳、纸屑/塑膜、烟蒂、痰迹、混凝土、渣土、沙、石、砖、粪便、呕吐物、动物尸体）未在规定时间内清理干净的。</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⑧污水、雨水积水未及时清扫的。</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⑨道路未按规定时间清扫完毕的。</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⑩环卫设施（垃圾房、垃圾亭、垃圾桶、果壳箱等）周边有暴露垃圾的。</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（2）乱张贴清除有下列情形之一的，每项或每处扣1分。</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①不按规范对乱张贴进行清除的。</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②清除不彻底、覆盖不规整的。</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③未在规定时间予以清除的。</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④清除完毕未及时清理残留垃圾的。</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（3）公共厕所保洁有下列情形之一的，每项或每处扣1分。</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①未按规定时间冲洗完毕的。</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②墙面、天花板、门窗和隔离板有积灰、污迹、蛛网，乱涂乱画，地面有积水的。</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③座便器、蹲位、大便槽两侧有粪便污物，槽内有积粪；小便槽(斗)有水锈、尿垢、垃圾，厕所内有明显臭味的。</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④公厕四周3—5米范围内，有垃圾、粪便、污水等污物；有乱披乱挂、乱堆乱放、乱涂乱贴现象的。</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⑤发现设施破损或遗失未立即报修的；公厕下水道堵塞未及时疏通到位的。</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⑥蝇蚊孳生季节未定时喷洒灭蚊蝇药物，有蝇蛆孳生的。</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（4）环卫设施清洗有下列情形之一的，每项或每处扣1分。</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①未按规定次数完成清洗的。</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②果壳箱（垃圾桶）外表面有污迹、有乱刻画、乱张贴的，垃圾桶内壁未清洗至沿口下三分之一处的；设置点周围地面有污迹的。</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③垃圾房（亭）内外地面有散落垃圾和堆积杂物、积留污水的，内外墙面有污迹、乱刻画、乱张贴的，四周3—5米范围内，有垃圾、粪便、污水等污物；有乱披乱挂、乱堆乱放、乱涂乱贴现象的。</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④发现设施损坏，未及时报修的。</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⑤非机动车黄色停车区域内车辆，停放不整齐，头尾不一致，占用盲道。</w:t>
      </w:r>
      <w:r/>
    </w:p>
    <w:p>
      <w:pPr>
        <w:ind w:firstLine="482"/>
        <w:spacing w:line="360" w:lineRule="exact"/>
        <w:tabs>
          <w:tab w:val="left" w:pos="0" w:leader="none"/>
          <w:tab w:val="left" w:pos="709" w:leader="none"/>
        </w:tabs>
        <w:rPr>
          <w:rFonts w:hint="eastAsia" w:ascii="宋体" w:hAnsi="宋体" w:eastAsia="宋体" w:cs="宋体"/>
          <w:b/>
          <w:bCs/>
          <w:sz w:val="24"/>
          <w:szCs w:val="24"/>
        </w:rPr>
      </w:pPr>
      <w:r>
        <w:rPr>
          <w:rFonts w:hint="eastAsia" w:ascii="宋体" w:hAnsi="宋体" w:eastAsia="宋体" w:cs="宋体"/>
          <w:b/>
          <w:bCs/>
          <w:sz w:val="24"/>
          <w:szCs w:val="24"/>
        </w:rPr>
        <w:t xml:space="preserve">2.安全文明生产5分</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有下列情形之一的，每项或每人扣1分。</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①未穿戴作业单位统一规定的反光安全标志服的。</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②穿拖鞋上班的。</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③机械化车辆在岗作业时车辆停留休息的或作业人员当班闲坐、聊天的。</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④作业人员当班围观突发事件或就地闲逛购物的或选择性的捡拾或售卖饮料瓶和硬板纸等废品的。</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⑤不文明作业，故意扬尘的。</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⑥车辆容貌未保持完好、密闭、整洁、安全的。</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7 \* GB3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⑦</w:t>
      </w:r>
      <w:r>
        <w:rPr>
          <w:rFonts w:hint="eastAsia" w:ascii="宋体" w:hAnsi="宋体" w:eastAsia="宋体" w:cs="宋体"/>
          <w:sz w:val="24"/>
          <w:szCs w:val="24"/>
        </w:rPr>
        <w:fldChar w:fldCharType="end"/>
      </w:r>
      <w:r>
        <w:rPr>
          <w:rFonts w:hint="eastAsia" w:ascii="宋体" w:hAnsi="宋体" w:eastAsia="宋体" w:cs="宋体"/>
          <w:sz w:val="24"/>
          <w:szCs w:val="24"/>
        </w:rPr>
        <w:t xml:space="preserve">电瓶收集车超载、超速、占用快车道的。</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8 \* GB3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⑧</w:t>
      </w:r>
      <w:r>
        <w:rPr>
          <w:rFonts w:hint="eastAsia" w:ascii="宋体" w:hAnsi="宋体" w:eastAsia="宋体" w:cs="宋体"/>
          <w:sz w:val="24"/>
          <w:szCs w:val="24"/>
        </w:rPr>
        <w:fldChar w:fldCharType="end"/>
      </w:r>
      <w:r>
        <w:rPr>
          <w:rFonts w:hint="eastAsia" w:ascii="宋体" w:hAnsi="宋体" w:eastAsia="宋体" w:cs="宋体"/>
          <w:sz w:val="24"/>
          <w:szCs w:val="24"/>
        </w:rPr>
        <w:t xml:space="preserve">作业工具、车辆未紧靠路边停放，或者停靠在公交车站、消防栓旁的。</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9 \* GB3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⑨</w:t>
      </w:r>
      <w:r>
        <w:rPr>
          <w:rFonts w:hint="eastAsia" w:ascii="宋体" w:hAnsi="宋体" w:eastAsia="宋体" w:cs="宋体"/>
          <w:sz w:val="24"/>
          <w:szCs w:val="24"/>
        </w:rPr>
        <w:fldChar w:fldCharType="end"/>
      </w:r>
      <w:r>
        <w:rPr>
          <w:rFonts w:hint="eastAsia" w:ascii="宋体" w:hAnsi="宋体" w:eastAsia="宋体" w:cs="宋体"/>
          <w:sz w:val="24"/>
          <w:szCs w:val="24"/>
        </w:rPr>
        <w:t xml:space="preserve">收集车未在作业方向设置警示标志。</w:t>
      </w:r>
      <w:r/>
    </w:p>
    <w:p>
      <w:pPr>
        <w:ind w:firstLine="487"/>
        <w:spacing w:line="360" w:lineRule="exact"/>
        <w:tabs>
          <w:tab w:val="left" w:pos="0" w:leader="none"/>
          <w:tab w:val="left" w:pos="709" w:leader="none"/>
        </w:tabs>
        <w:rPr>
          <w:rFonts w:hint="eastAsia" w:ascii="宋体" w:hAnsi="宋体" w:eastAsia="宋体" w:cs="宋体"/>
          <w:b/>
          <w:bCs/>
          <w:sz w:val="24"/>
          <w:szCs w:val="24"/>
        </w:rPr>
      </w:pPr>
      <w:r>
        <w:rPr>
          <w:rFonts w:hint="eastAsia" w:ascii="宋体" w:hAnsi="宋体" w:eastAsia="宋体" w:cs="宋体"/>
          <w:b/>
          <w:bCs/>
          <w:sz w:val="24"/>
          <w:szCs w:val="24"/>
        </w:rPr>
        <w:t xml:space="preserve">3.规范用工5分</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有下列情形之一的，每项或每人扣1分。</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①抽查人员工资发放记录，确有用工不满足规定工资标准的。</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②接到有关签订劳动合同投诉属实的。</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③接到有关补贴不及时发放的投诉属实的。</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④接到有关保险按时缴纳的投诉属实的。</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⑤出现5人以上劳资纠纷的。</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⑥建立基础管理台帐，包括《人员作业情况登记本》、《日常检查情况登记本》、《信访处理登记本》，每缺1本扣1分，登记不及时的每本每次扣1分。</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7 \* GB3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⑦</w:t>
      </w:r>
      <w:r>
        <w:rPr>
          <w:rFonts w:hint="eastAsia" w:ascii="宋体" w:hAnsi="宋体" w:eastAsia="宋体" w:cs="宋体"/>
          <w:sz w:val="24"/>
          <w:szCs w:val="24"/>
        </w:rPr>
        <w:fldChar w:fldCharType="end"/>
      </w:r>
      <w:r>
        <w:rPr>
          <w:rFonts w:hint="eastAsia" w:ascii="宋体" w:hAnsi="宋体" w:eastAsia="宋体" w:cs="宋体"/>
          <w:sz w:val="24"/>
          <w:szCs w:val="24"/>
        </w:rPr>
        <w:t xml:space="preserve">建立相关管理制度，包括行政管理制度、考勤制度、岗位责任制度、安全生产制度、考核制度，每缺1项制度扣1分。</w:t>
      </w:r>
      <w:r/>
    </w:p>
    <w:p>
      <w:pPr>
        <w:ind w:firstLine="487"/>
        <w:spacing w:line="360" w:lineRule="exact"/>
        <w:tabs>
          <w:tab w:val="left" w:pos="0" w:leader="none"/>
          <w:tab w:val="left" w:pos="709" w:leader="none"/>
        </w:tabs>
        <w:rPr>
          <w:rFonts w:hint="eastAsia" w:ascii="宋体" w:hAnsi="宋体" w:eastAsia="宋体" w:cs="宋体"/>
          <w:b/>
          <w:bCs/>
          <w:sz w:val="24"/>
          <w:szCs w:val="24"/>
        </w:rPr>
      </w:pPr>
      <w:r>
        <w:rPr>
          <w:rFonts w:hint="eastAsia" w:ascii="宋体" w:hAnsi="宋体" w:eastAsia="宋体" w:cs="宋体"/>
          <w:b/>
          <w:bCs/>
          <w:sz w:val="24"/>
          <w:szCs w:val="24"/>
        </w:rPr>
        <w:t xml:space="preserve">4.镇级以上检查考核及媒体曝光、群众投诉等情况</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①在镇级督查考核中扣分的，作1.5倍扣分；在溧阳市城市长效综合管理考核中扣分的，作2倍扣分；在常州市级以上城乡长效综合管理考核中扣分的，作2.5倍扣分。</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②媒体曝光属实的（以媒体最先曝光时间为扣分记录时间），每项扣3分；群众投诉举报属实的，每项扣2分。</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③考评中发现及上级反馈问题通知整改的，在规定的时间内仍未整改的，以及未在一个工作日内反馈整改情况的（反馈情况以书面或电子文档为准），按标准2倍扣分。</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④中标人未按时保质保量完成采购人交给的指令性任务，每次扣2分</w:t>
      </w:r>
      <w:r/>
    </w:p>
    <w:p>
      <w:pPr>
        <w:ind w:firstLine="487"/>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b/>
          <w:sz w:val="24"/>
          <w:szCs w:val="24"/>
        </w:rPr>
        <w:t xml:space="preserve">5.考核实施办法</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①根据本考评细则组织月度考核，采购人采取样本抽查和现场随机检查的方式进行考核，每月不少于5次，按百分制计分；三个月的平均分为季度考核成绩。</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②采购人取证资料必须做到时间与地点清楚、背景清晰，便于中标人查证核对认可。当日的取证资料只保存七工作日，期内可供中标人查看或复制，过期视为默认。</w:t>
      </w:r>
      <w:r/>
    </w:p>
    <w:p>
      <w:pPr>
        <w:ind w:firstLine="484"/>
        <w:spacing w:line="360" w:lineRule="exact"/>
        <w:tabs>
          <w:tab w:val="left" w:pos="0" w:leader="none"/>
          <w:tab w:val="left" w:pos="709" w:leader="none"/>
        </w:tabs>
        <w:rPr>
          <w:rFonts w:hint="eastAsia" w:ascii="宋体" w:hAnsi="宋体" w:eastAsia="宋体" w:cs="宋体"/>
          <w:b/>
          <w:bCs/>
          <w:sz w:val="24"/>
          <w:szCs w:val="24"/>
        </w:rPr>
      </w:pPr>
      <w:r>
        <w:rPr>
          <w:rFonts w:hint="eastAsia" w:ascii="宋体" w:hAnsi="宋体" w:eastAsia="宋体" w:cs="宋体"/>
          <w:sz w:val="24"/>
          <w:szCs w:val="24"/>
        </w:rPr>
        <w:t xml:space="preserve">③根据月度和季度考核结果，月度按1分500元扣除，季度按平均分，在90分（含）以上且月度得分不低于85分（含）的，全额支付；低于90分的或月度得分低于85分的，每低1分扣罚管理费的1%。</w:t>
      </w:r>
      <w:r/>
    </w:p>
    <w:p>
      <w:pPr>
        <w:ind w:firstLine="487"/>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b/>
          <w:bCs/>
          <w:sz w:val="24"/>
          <w:szCs w:val="24"/>
        </w:rPr>
        <w:t xml:space="preserve">④中标人在2个月的试用期内考核结果在85分（不含85分）以下的，作试用期考核不合格处理。采购人将不与中标人签订正式作业服务合同。中标人不得以设备采购、人员招聘、办公经营场所租赁等任何理由向采购人提出经济补偿要求。</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⑤中标人在承包期内连续2次或累计3次考核结果在85分（不含85分）以下的，采购人在满足前述条件的次月底前与中标人解除合同。被解除合同的中标人在被解除合同时日起两年内不得参与本镇区环卫作业投标。</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⑥中标人在各类应急响应工作，市、区重大活动期间因工作不到位造成重大影响的，采购人有权在合同期内提前15天通知中标人解除合同。被解除合同的中标人在被解除合同时日起三年内不得参与本镇区环卫作业投标。</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⑦中标人不能按时支付本合同规定的各项人员支出的，采购人有权在合同期内提前15天通知中标人解除合同。被解除合同的中标人在被解除合同时日起三年内不得参与本镇区环卫作业投标。</w:t>
      </w:r>
      <w:r/>
    </w:p>
    <w:p>
      <w:pPr>
        <w:ind w:firstLine="484"/>
        <w:spacing w:line="360" w:lineRule="exact"/>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8 \* GB3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⑧</w:t>
      </w:r>
      <w:r>
        <w:rPr>
          <w:rFonts w:hint="eastAsia" w:ascii="宋体" w:hAnsi="宋体" w:eastAsia="宋体" w:cs="宋体"/>
          <w:sz w:val="24"/>
          <w:szCs w:val="24"/>
        </w:rPr>
        <w:fldChar w:fldCharType="end"/>
      </w:r>
      <w:r>
        <w:rPr>
          <w:rFonts w:hint="eastAsia" w:ascii="宋体" w:hAnsi="宋体" w:eastAsia="宋体" w:cs="宋体"/>
          <w:sz w:val="24"/>
          <w:szCs w:val="24"/>
        </w:rPr>
        <w:t xml:space="preserve">被解除合同后的标段由相邻标段中标单位临时代管，作业及考核要求与本合同一致。代管期限最长不得超过3个月，且代管期内遇合同到期则代管自动终止。</w:t>
      </w:r>
      <w:r/>
    </w:p>
    <w:p>
      <w:pPr>
        <w:ind w:firstLine="487"/>
        <w:spacing w:line="460" w:lineRule="exact"/>
        <w:rPr>
          <w:rFonts w:ascii="宋体" w:hAnsi="宋体" w:eastAsia="宋体" w:cs="宋体"/>
          <w:b/>
          <w:sz w:val="24"/>
          <w:szCs w:val="24"/>
        </w:rPr>
      </w:pPr>
      <w:r>
        <w:rPr>
          <w:rFonts w:hint="eastAsia" w:ascii="宋体" w:hAnsi="宋体" w:eastAsia="宋体" w:cs="宋体"/>
          <w:b/>
          <w:sz w:val="24"/>
          <w:szCs w:val="24"/>
        </w:rPr>
        <w:t xml:space="preserve">7.本办法的贯彻执行由溧阳市上兴镇综合行政执法局负责监督和检查。</w:t>
      </w:r>
      <w:r/>
    </w:p>
    <w:p>
      <w:r/>
      <w:r/>
    </w:p>
    <w:p>
      <w:pPr>
        <w:pStyle w:val="846"/>
      </w:pPr>
      <w:r/>
      <w:r/>
    </w:p>
    <w:p>
      <w:r/>
      <w:r/>
    </w:p>
    <w:p>
      <w:pPr>
        <w:pStyle w:val="846"/>
      </w:pPr>
      <w:r/>
      <w:r/>
    </w:p>
    <w:p>
      <w:r/>
      <w:r/>
    </w:p>
    <w:p>
      <w:pPr>
        <w:jc w:val="center"/>
        <w:spacing w:line="360" w:lineRule="auto"/>
        <w:rPr>
          <w:b/>
          <w:sz w:val="36"/>
          <w:szCs w:val="36"/>
        </w:rPr>
        <w:outlineLvl w:val="0"/>
      </w:pPr>
      <w:r/>
      <w:bookmarkStart w:id="671" w:name="_Toc104818930"/>
      <w:r>
        <w:rPr>
          <w:b/>
          <w:sz w:val="36"/>
          <w:szCs w:val="36"/>
        </w:rPr>
        <w:t xml:space="preserve">第六章   响应文件格式</w:t>
      </w:r>
      <w:bookmarkEnd w:id="671"/>
      <w:r/>
      <w:r/>
    </w:p>
    <w:p>
      <w:pPr>
        <w:jc w:val="left"/>
        <w:spacing w:line="360" w:lineRule="auto"/>
        <w:widowControl/>
        <w:rPr>
          <w:b/>
          <w:sz w:val="24"/>
        </w:rPr>
      </w:pPr>
      <w:r>
        <w:rPr>
          <w:b/>
          <w:sz w:val="24"/>
        </w:rPr>
      </w:r>
      <w:r/>
    </w:p>
    <w:p>
      <w:pPr>
        <w:jc w:val="left"/>
        <w:spacing w:line="360" w:lineRule="auto"/>
        <w:widowControl/>
        <w:rPr>
          <w:b/>
          <w:sz w:val="24"/>
        </w:rPr>
      </w:pPr>
      <w:r>
        <w:rPr>
          <w:b/>
          <w:sz w:val="24"/>
        </w:rPr>
      </w:r>
      <w:r/>
    </w:p>
    <w:p>
      <w:pPr>
        <w:ind w:left="142"/>
        <w:spacing w:line="360" w:lineRule="auto"/>
        <w:tabs>
          <w:tab w:val="left" w:pos="900" w:leader="none"/>
          <w:tab w:val="left" w:pos="1980" w:leader="none"/>
        </w:tabs>
        <w:rPr>
          <w:b/>
          <w:sz w:val="24"/>
        </w:rPr>
      </w:pPr>
      <w:r>
        <w:rPr>
          <w:rFonts w:hint="eastAsia"/>
          <w:b/>
          <w:sz w:val="24"/>
        </w:rPr>
        <w:t xml:space="preserve">供应商编制文件须知</w:t>
      </w:r>
      <w:r/>
    </w:p>
    <w:p>
      <w:pPr>
        <w:ind w:left="142"/>
        <w:spacing w:line="360" w:lineRule="auto"/>
        <w:tabs>
          <w:tab w:val="left" w:pos="900" w:leader="none"/>
          <w:tab w:val="left" w:pos="1980" w:leader="none"/>
        </w:tabs>
        <w:rPr>
          <w:sz w:val="24"/>
        </w:rPr>
      </w:pPr>
      <w:r>
        <w:rPr>
          <w:sz w:val="24"/>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rPr>
      </w:pPr>
      <w:r>
        <w:rPr>
          <w:sz w:val="24"/>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p>
    <w:p>
      <w:pPr>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响应文件编制工具</w:t>
      </w:r>
      <w:r>
        <w:rPr>
          <w:rFonts w:hint="eastAsia"/>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sz w:val="24"/>
        </w:rPr>
        <w:t xml:space="preserve">。</w:t>
      </w:r>
      <w:r/>
    </w:p>
    <w:p>
      <w:pPr>
        <w:ind w:left="142"/>
        <w:spacing w:line="360" w:lineRule="auto"/>
        <w:tabs>
          <w:tab w:val="left" w:pos="900" w:leader="none"/>
          <w:tab w:val="left" w:pos="1980" w:leader="none"/>
        </w:tabs>
        <w:rPr>
          <w:sz w:val="24"/>
        </w:rPr>
      </w:pPr>
      <w:r>
        <w:rPr>
          <w:sz w:val="24"/>
        </w:rPr>
      </w:r>
      <w:r/>
    </w:p>
    <w:p>
      <w:pPr>
        <w:jc w:val="left"/>
        <w:widowControl/>
        <w:rPr>
          <w:sz w:val="24"/>
        </w:rPr>
      </w:pPr>
      <w:r>
        <w:rPr>
          <w:sz w:val="24"/>
        </w:rPr>
        <w:br w:type="page" w:clear="all"/>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r/>
    </w:p>
    <w:p>
      <w:pPr>
        <w:rPr>
          <w:b/>
          <w:spacing w:val="20"/>
          <w:szCs w:val="21"/>
        </w:rPr>
      </w:pPr>
      <w:r>
        <w:rPr>
          <w:b/>
          <w:spacing w:val="20"/>
          <w:szCs w:val="21"/>
        </w:rPr>
      </w:r>
      <w:r/>
    </w:p>
    <w:p>
      <w:pPr>
        <w:rPr>
          <w:b/>
          <w:sz w:val="24"/>
        </w:rPr>
      </w:pPr>
      <w:r>
        <w:rPr>
          <w:b/>
          <w:spacing w:val="20"/>
          <w:sz w:val="24"/>
        </w:rPr>
        <w:t xml:space="preserve">响应文件</w:t>
      </w:r>
      <w:r>
        <w:rPr>
          <w:b/>
          <w:sz w:val="24"/>
        </w:rPr>
        <w:t xml:space="preserve">封面（非实质性格式）</w:t>
      </w:r>
      <w:r/>
    </w:p>
    <w:p>
      <w:pPr>
        <w:jc w:val="center"/>
        <w:rPr>
          <w:szCs w:val="21"/>
        </w:rPr>
      </w:pPr>
      <w:r>
        <w:rPr>
          <w:szCs w:val="21"/>
        </w:rPr>
      </w:r>
      <w:r/>
    </w:p>
    <w:p>
      <w:pPr>
        <w:jc w:val="center"/>
        <w:rPr>
          <w:b/>
          <w:spacing w:val="60"/>
          <w:sz w:val="84"/>
          <w:szCs w:val="84"/>
        </w:rPr>
      </w:pPr>
      <w:r>
        <w:rPr>
          <w:b/>
          <w:spacing w:val="60"/>
          <w:sz w:val="84"/>
          <w:szCs w:val="84"/>
        </w:rPr>
        <w:t xml:space="preserve">响 应 文 件</w:t>
      </w:r>
      <w:r/>
    </w:p>
    <w:p>
      <w:pPr>
        <w:jc w:val="center"/>
        <w:rPr>
          <w:b/>
          <w:spacing w:val="60"/>
          <w:sz w:val="52"/>
          <w:szCs w:val="52"/>
        </w:rPr>
      </w:pPr>
      <w:r>
        <w:rPr>
          <w:b/>
          <w:spacing w:val="60"/>
          <w:sz w:val="52"/>
          <w:szCs w:val="5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p>
    <w:p>
      <w:pPr>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jc w:val="center"/>
        <w:rPr>
          <w:b/>
          <w:sz w:val="32"/>
          <w:szCs w:val="32"/>
        </w:rPr>
      </w:pPr>
      <w:r>
        <w:rPr>
          <w:b/>
          <w:sz w:val="32"/>
          <w:szCs w:val="32"/>
        </w:rPr>
      </w:r>
      <w:r/>
    </w:p>
    <w:p>
      <w:pPr>
        <w:rPr>
          <w:b/>
        </w:rPr>
      </w:pPr>
      <w:r>
        <w:rPr>
          <w:b/>
          <w:spacing w:val="20"/>
          <w:sz w:val="32"/>
          <w:szCs w:val="32"/>
        </w:rPr>
        <w:br w:type="page" w:clear="all"/>
      </w:r>
      <w:r/>
    </w:p>
    <w:p>
      <w:pPr>
        <w:spacing w:line="360" w:lineRule="auto"/>
        <w:rPr>
          <w:color w:val="000000"/>
          <w:sz w:val="24"/>
          <w:szCs w:val="20"/>
        </w:rPr>
        <w:outlineLvl w:val="2"/>
      </w:pPr>
      <w:r>
        <w:rPr>
          <w:color w:val="000000"/>
          <w:sz w:val="24"/>
          <w:szCs w:val="20"/>
        </w:rPr>
        <w:t xml:space="preserve">1 </w:t>
      </w:r>
      <w:r>
        <w:rPr>
          <w:sz w:val="24"/>
        </w:rPr>
        <w:t xml:space="preserve">满足《中华人民共和国政府采购法》第二十二条规定及法律法规的其他规定</w:t>
      </w:r>
      <w:r/>
    </w:p>
    <w:p>
      <w:pPr>
        <w:pStyle w:val="1034"/>
        <w:rPr>
          <w:rFonts w:ascii="Times New Roman"/>
          <w:b w:val="0"/>
          <w:bCs/>
          <w:color w:val="000000"/>
          <w:u w:val="none"/>
        </w:rPr>
      </w:pPr>
      <w:r>
        <w:rPr>
          <w:rFonts w:ascii="Times New Roman"/>
          <w:b w:val="0"/>
          <w:color w:val="000000"/>
          <w:u w:val="none"/>
        </w:rPr>
        <w:t xml:space="preserve">1-</w:t>
      </w:r>
      <w:r>
        <w:rPr>
          <w:rFonts w:hint="eastAsia" w:ascii="Times New Roman"/>
          <w:b w:val="0"/>
          <w:color w:val="000000"/>
          <w:u w:val="none"/>
        </w:rPr>
        <w:t xml:space="preserve">1</w:t>
      </w:r>
      <w:r>
        <w:rPr>
          <w:rFonts w:ascii="Times New Roman"/>
          <w:b w:val="0"/>
          <w:color w:val="000000"/>
          <w:u w:val="none"/>
        </w:rPr>
        <w:t xml:space="preserve"> 供应商资格声明</w:t>
      </w:r>
      <w:r>
        <w:rPr>
          <w:rFonts w:hint="eastAsia" w:ascii="Times New Roman"/>
          <w:b w:val="0"/>
          <w:color w:val="000000"/>
          <w:u w:val="none"/>
        </w:rPr>
        <w:t xml:space="preserve">函</w:t>
      </w:r>
      <w:r>
        <w:rPr>
          <w:rFonts w:ascii="Times New Roman"/>
          <w:b w:val="0"/>
          <w:color w:val="000000"/>
          <w:u w:val="none"/>
        </w:rPr>
        <w:t xml:space="preserve">（实质性格式）</w:t>
      </w:r>
      <w:r/>
    </w:p>
    <w:p>
      <w:pPr>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jc w:val="center"/>
        <w:spacing w:before="120" w:line="360" w:lineRule="auto"/>
        <w:widowControl/>
        <w:rPr>
          <w:rFonts w:ascii="宋体" w:hAnsi="宋体" w:cs="宋体"/>
          <w:szCs w:val="21"/>
        </w:rPr>
      </w:pPr>
      <w:r>
        <w:rPr>
          <w:rFonts w:hint="eastAsia" w:ascii="宋体" w:hAnsi="宋体" w:cs="宋体"/>
          <w:b/>
          <w:sz w:val="28"/>
          <w:szCs w:val="28"/>
        </w:rPr>
        <w:t xml:space="preserve">供应商资格声明函</w:t>
      </w:r>
      <w:r/>
    </w:p>
    <w:p>
      <w:pPr>
        <w:pStyle w:val="1035"/>
        <w:ind w:firstLine="480"/>
        <w:spacing w:line="460" w:lineRule="exact"/>
      </w:pPr>
      <w:r/>
      <w:r/>
    </w:p>
    <w:p>
      <w:pPr>
        <w:pStyle w:val="1035"/>
        <w:ind w:firstLine="480"/>
        <w:spacing w:line="460" w:lineRule="exact"/>
        <w:rPr>
          <w:u w:val="single"/>
        </w:rPr>
      </w:pPr>
      <w:r>
        <w:rPr>
          <w:rFonts w:hint="eastAsia"/>
        </w:rPr>
        <w:t xml:space="preserve">致：</w:t>
      </w:r>
      <w:r>
        <w:rPr>
          <w:rFonts w:hint="eastAsia"/>
          <w:u w:val="single"/>
        </w:rPr>
        <w:t xml:space="preserve">（采购人名称）</w:t>
      </w:r>
      <w:r/>
    </w:p>
    <w:p>
      <w:pPr>
        <w:pStyle w:val="1035"/>
        <w:ind w:firstLine="480"/>
        <w:spacing w:line="460" w:lineRule="exact"/>
      </w:pPr>
      <w:r/>
      <w:r/>
    </w:p>
    <w:p>
      <w:pPr>
        <w:pStyle w:val="1035"/>
        <w:ind w:firstLine="480"/>
        <w:spacing w:line="460" w:lineRule="exact"/>
      </w:pPr>
      <w:r>
        <w:rPr>
          <w:rFonts w:hint="eastAsia"/>
        </w:rPr>
        <w:t xml:space="preserve">按照《中华人民共和国政府采购法》第二十二条和磋商文件的规定，我单位郑重声明如下：</w:t>
      </w:r>
      <w:r/>
    </w:p>
    <w:p>
      <w:pPr>
        <w:pStyle w:val="1035"/>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035"/>
        <w:ind w:firstLine="480"/>
        <w:spacing w:line="460" w:lineRule="exact"/>
      </w:pPr>
      <w:r>
        <w:rPr>
          <w:rFonts w:hint="eastAsia"/>
        </w:rPr>
        <w:t xml:space="preserve">二、我单位未被“国家企业信用信息系统”列入经营异常名录或者严重违法企业名单。</w:t>
      </w:r>
      <w:r/>
    </w:p>
    <w:p>
      <w:pPr>
        <w:pStyle w:val="1035"/>
        <w:ind w:firstLine="480"/>
        <w:spacing w:line="460" w:lineRule="exact"/>
      </w:pPr>
      <w:r>
        <w:rPr>
          <w:rFonts w:hint="eastAsia"/>
        </w:rPr>
        <w:t xml:space="preserve">三、我单位具有良好的商业信誉（指供应商经营状况良好，无本资格声明第十条情形）和健全的财务会计制度。</w:t>
      </w:r>
      <w:r/>
    </w:p>
    <w:p>
      <w:pPr>
        <w:pStyle w:val="1035"/>
        <w:ind w:firstLine="480"/>
        <w:spacing w:line="460" w:lineRule="exact"/>
      </w:pPr>
      <w:r>
        <w:rPr>
          <w:rFonts w:hint="eastAsia"/>
        </w:rPr>
        <w:t xml:space="preserve">四、我单位依法进行纳税和社会保险申报并实际履行了义务。</w:t>
      </w:r>
      <w:r/>
    </w:p>
    <w:p>
      <w:pPr>
        <w:pStyle w:val="1035"/>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035"/>
        <w:ind w:firstLine="480"/>
        <w:spacing w:line="460" w:lineRule="exact"/>
      </w:pPr>
      <w:r>
        <w:rPr>
          <w:rFonts w:hint="eastAsia"/>
        </w:rPr>
        <w:t xml:space="preserve">主要设备有：</w:t>
      </w:r>
      <w:r>
        <w:rPr>
          <w:u w:val="single"/>
        </w:rPr>
        <w:t xml:space="preserve">            </w:t>
      </w:r>
      <w:r/>
    </w:p>
    <w:p>
      <w:pPr>
        <w:pStyle w:val="1035"/>
        <w:ind w:firstLine="480"/>
        <w:spacing w:line="460" w:lineRule="exact"/>
      </w:pPr>
      <w:r>
        <w:rPr>
          <w:rFonts w:hint="eastAsia"/>
        </w:rPr>
        <w:t xml:space="preserve">主要专业技术能力有</w:t>
      </w:r>
      <w:r>
        <w:rPr>
          <w:rFonts w:hint="eastAsia"/>
          <w:u w:val="single"/>
        </w:rPr>
        <w:t xml:space="preserve">                 </w:t>
      </w:r>
      <w:r/>
    </w:p>
    <w:p>
      <w:pPr>
        <w:pStyle w:val="1035"/>
        <w:ind w:firstLine="480"/>
        <w:spacing w:line="460" w:lineRule="exact"/>
      </w:pPr>
      <w:r>
        <w:rPr>
          <w:rFonts w:hint="eastAsia"/>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35"/>
        <w:ind w:firstLine="480"/>
        <w:spacing w:line="460" w:lineRule="exact"/>
      </w:pPr>
      <w:r>
        <w:rPr>
          <w:rFonts w:hint="eastAsia"/>
        </w:rPr>
        <w:t xml:space="preserve">七、我单位具备法律、行政法规规定的其他条件。</w:t>
      </w:r>
      <w:r/>
    </w:p>
    <w:p>
      <w:pPr>
        <w:pStyle w:val="1035"/>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1035"/>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1035"/>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1035"/>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035"/>
        <w:ind w:firstLine="480"/>
        <w:spacing w:line="460" w:lineRule="exact"/>
      </w:pPr>
      <w:r>
        <w:rPr>
          <w:rFonts w:hint="eastAsia"/>
        </w:rPr>
        <w:t xml:space="preserve">九、</w:t>
      </w:r>
      <w:r>
        <w:t xml:space="preserve">我</w:t>
      </w:r>
      <w:r>
        <w:rPr>
          <w:rFonts w:hint="eastAsia"/>
        </w:rPr>
        <w:t xml:space="preserve">单位</w:t>
      </w:r>
      <w:r>
        <w:t xml:space="preserve">不属于为本项目提供整体设计、规范编制或者项目管理、监理、检测等服务的供应商。</w:t>
      </w:r>
      <w:r/>
    </w:p>
    <w:p>
      <w:pPr>
        <w:pStyle w:val="1035"/>
        <w:ind w:firstLine="480"/>
        <w:spacing w:line="460" w:lineRule="exact"/>
      </w:pPr>
      <w:r>
        <w:rPr>
          <w:rFonts w:hint="eastAsia"/>
        </w:rPr>
        <w:t xml:space="preserve">十、</w:t>
      </w:r>
      <w:r>
        <w:t xml:space="preserve">我单位无以下不良信用记录情形：</w:t>
      </w:r>
      <w:r/>
    </w:p>
    <w:p>
      <w:pPr>
        <w:pStyle w:val="1035"/>
        <w:ind w:firstLine="480"/>
        <w:spacing w:line="460" w:lineRule="exact"/>
      </w:pPr>
      <w:r>
        <w:t xml:space="preserve">1</w:t>
      </w:r>
      <w:r>
        <w:rPr>
          <w:rFonts w:hint="eastAsia"/>
        </w:rPr>
        <w:t xml:space="preserve">、在“信用中国”网站被列入失信被执行人和重大税收违法案件当事人名单；</w:t>
      </w:r>
      <w:r/>
    </w:p>
    <w:p>
      <w:pPr>
        <w:pStyle w:val="1035"/>
        <w:ind w:firstLine="480"/>
        <w:spacing w:line="460" w:lineRule="exact"/>
      </w:pPr>
      <w:r>
        <w:t xml:space="preserve">2</w:t>
      </w:r>
      <w:r>
        <w:rPr>
          <w:rFonts w:hint="eastAsia"/>
        </w:rPr>
        <w:t xml:space="preserve">、在“中国政府采购网”网站被列入政府采购严重违法失信行为记录名单；</w:t>
      </w:r>
      <w:r/>
    </w:p>
    <w:p>
      <w:pPr>
        <w:pStyle w:val="1035"/>
        <w:ind w:firstLine="480"/>
        <w:spacing w:line="460" w:lineRule="exact"/>
      </w:pPr>
      <w:r>
        <w:t xml:space="preserve">3</w:t>
      </w:r>
      <w:r>
        <w:rPr>
          <w:rFonts w:hint="eastAsia"/>
        </w:rPr>
        <w:t xml:space="preserve">、</w:t>
      </w:r>
      <w:r>
        <w:t xml:space="preserve">不符合《政府采购法》第二十二条规定的条件。</w:t>
      </w:r>
      <w:r/>
    </w:p>
    <w:p>
      <w:pPr>
        <w:pStyle w:val="1035"/>
        <w:ind w:firstLine="480"/>
        <w:spacing w:line="460" w:lineRule="exact"/>
      </w:pPr>
      <w:r/>
      <w:r/>
    </w:p>
    <w:p>
      <w:pPr>
        <w:pStyle w:val="1035"/>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035"/>
        <w:ind w:firstLine="480"/>
        <w:spacing w:line="460" w:lineRule="exact"/>
      </w:pPr>
      <w:r/>
      <w:r/>
    </w:p>
    <w:p>
      <w:pPr>
        <w:pStyle w:val="1035"/>
        <w:ind w:firstLine="480"/>
        <w:spacing w:line="460" w:lineRule="exact"/>
      </w:pPr>
      <w:r/>
      <w:r/>
    </w:p>
    <w:p>
      <w:pPr>
        <w:pStyle w:val="1035"/>
        <w:ind w:firstLine="480"/>
        <w:spacing w:line="460" w:lineRule="exact"/>
      </w:pPr>
      <w:r>
        <w:rPr>
          <w:rFonts w:hint="eastAsia"/>
        </w:rPr>
        <w:t xml:space="preserve">                                            供应商：（加盖公章）</w:t>
      </w:r>
      <w:r/>
    </w:p>
    <w:p>
      <w:pPr>
        <w:pStyle w:val="1035"/>
        <w:ind w:firstLine="480"/>
        <w:spacing w:line="460" w:lineRule="exact"/>
      </w:pPr>
      <w:r>
        <w:rPr>
          <w:rFonts w:hint="eastAsia"/>
        </w:rPr>
        <w:t xml:space="preserve">                           法定代表人（或单位负责人）签字或盖章：</w:t>
      </w:r>
      <w:r/>
    </w:p>
    <w:p>
      <w:pPr>
        <w:pStyle w:val="1035"/>
        <w:ind w:firstLine="4920"/>
        <w:spacing w:line="460" w:lineRule="exact"/>
        <w:rPr>
          <w:rFonts w:hint="eastAsia"/>
        </w:rPr>
      </w:pPr>
      <w:r>
        <w:rPr>
          <w:rFonts w:hint="eastAsia"/>
        </w:rPr>
        <w:t xml:space="preserve">日期：    年    月    日</w:t>
      </w:r>
      <w:r/>
    </w:p>
    <w:p>
      <w:pPr>
        <w:spacing w:line="360" w:lineRule="auto"/>
        <w:rPr>
          <w:rFonts w:hint="eastAsia"/>
          <w:sz w:val="24"/>
        </w:rPr>
      </w:pPr>
      <w:r>
        <w:rPr>
          <w:rFonts w:hint="eastAsia"/>
          <w:sz w:val="24"/>
        </w:rPr>
      </w:r>
      <w:r/>
    </w:p>
    <w:p>
      <w:pPr>
        <w:spacing w:line="360" w:lineRule="auto"/>
        <w:rPr>
          <w:rFonts w:hint="eastAsia"/>
          <w:sz w:val="24"/>
        </w:rPr>
      </w:pPr>
      <w:r>
        <w:rPr>
          <w:rFonts w:hint="eastAsia"/>
          <w:sz w:val="24"/>
        </w:rPr>
      </w:r>
      <w:r/>
    </w:p>
    <w:p>
      <w:pPr>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p>
    <w:p>
      <w:pPr>
        <w:spacing w:line="360" w:lineRule="auto"/>
        <w:tabs>
          <w:tab w:val="left" w:pos="5580" w:leader="none"/>
        </w:tabs>
        <w:rPr>
          <w:sz w:val="24"/>
        </w:rPr>
        <w:sectPr>
          <w:headerReference w:type="default" r:id="rId11"/>
          <w:footerReference w:type="default" r:id="rId20"/>
          <w:footnotePr/>
          <w:endnotePr/>
          <w:type w:val="nextPage"/>
          <w:pgSz w:w="11907" w:h="16840" w:orient="portrait"/>
          <w:pgMar w:top="1440" w:right="1800" w:bottom="1440" w:left="1800" w:header="851" w:footer="851" w:gutter="0"/>
          <w:cols w:num="1" w:sep="0" w:space="1701" w:equalWidth="1"/>
          <w:docGrid w:linePitch="360"/>
        </w:sectPr>
      </w:pPr>
      <w:r>
        <w:rPr>
          <w:sz w:val="24"/>
        </w:rPr>
      </w:r>
      <w:r/>
    </w:p>
    <w:p>
      <w:pPr>
        <w:spacing w:line="360" w:lineRule="auto"/>
        <w:rPr>
          <w:color w:val="000000"/>
          <w:sz w:val="24"/>
          <w:szCs w:val="20"/>
        </w:rPr>
        <w:outlineLvl w:val="2"/>
      </w:pPr>
      <w:r>
        <w:rPr>
          <w:color w:val="000000"/>
          <w:sz w:val="24"/>
          <w:szCs w:val="20"/>
        </w:rPr>
        <w:t xml:space="preserve">2 落实政府采购政策需满足的资格要求</w:t>
      </w:r>
      <w:r/>
    </w:p>
    <w:p>
      <w:pPr>
        <w:spacing w:line="360" w:lineRule="auto"/>
        <w:rPr>
          <w:color w:val="000000"/>
          <w:sz w:val="24"/>
          <w:szCs w:val="20"/>
        </w:rPr>
        <w:outlineLvl w:val="2"/>
      </w:pPr>
      <w:r>
        <w:rPr>
          <w:color w:val="000000"/>
          <w:sz w:val="24"/>
          <w:szCs w:val="20"/>
        </w:rPr>
        <w:t xml:space="preserve">2-1 中小企业声明函</w:t>
      </w:r>
      <w:r/>
    </w:p>
    <w:p>
      <w:pPr>
        <w:spacing w:line="360" w:lineRule="auto"/>
        <w:tabs>
          <w:tab w:val="left" w:pos="5580" w:leader="none"/>
        </w:tabs>
        <w:rPr>
          <w:sz w:val="24"/>
        </w:rPr>
      </w:pPr>
      <w:r>
        <w:rPr>
          <w:sz w:val="24"/>
        </w:rPr>
      </w:r>
      <w:r/>
    </w:p>
    <w:p>
      <w:pPr>
        <w:spacing w:line="360" w:lineRule="auto"/>
        <w:tabs>
          <w:tab w:val="left" w:pos="5580" w:leader="none"/>
        </w:tabs>
        <w:rPr>
          <w:sz w:val="24"/>
        </w:rPr>
      </w:pPr>
      <w:r>
        <w:rPr>
          <w:sz w:val="24"/>
        </w:rPr>
        <w:t xml:space="preserve">说明：</w:t>
      </w:r>
      <w:r/>
    </w:p>
    <w:p>
      <w:pPr>
        <w:spacing w:line="360" w:lineRule="auto"/>
        <w:tabs>
          <w:tab w:val="left" w:pos="5580" w:leader="none"/>
        </w:tabs>
        <w:rPr>
          <w:sz w:val="24"/>
        </w:rPr>
      </w:pPr>
      <w:r>
        <w:rPr>
          <w:sz w:val="24"/>
        </w:rPr>
        <w:t xml:space="preserve">（1）如本项目（包）不专门面向中小企业预留采购份额，</w:t>
      </w:r>
      <w:r>
        <w:rPr>
          <w:rFonts w:hint="eastAsia"/>
          <w:sz w:val="24"/>
        </w:rPr>
        <w:t xml:space="preserve">供应商非必须</w:t>
      </w:r>
      <w:r>
        <w:rPr>
          <w:sz w:val="24"/>
        </w:rPr>
        <w:t xml:space="preserve">提供</w:t>
      </w:r>
      <w:r>
        <w:rPr>
          <w:rFonts w:hint="eastAsia"/>
          <w:sz w:val="24"/>
        </w:rPr>
        <w:t xml:space="preserve">；当小微企业拟享受中小企业扶持政策时，仍应提供</w:t>
      </w:r>
      <w:r>
        <w:rPr>
          <w:sz w:val="24"/>
        </w:rPr>
        <w:t xml:space="preserve">《中小企业声明函》</w:t>
      </w:r>
      <w:r>
        <w:rPr>
          <w:rFonts w:hint="eastAsia"/>
          <w:sz w:val="24"/>
        </w:rPr>
        <w:t xml:space="preserve">，</w:t>
      </w:r>
      <w:r>
        <w:rPr>
          <w:color w:val="000000"/>
          <w:sz w:val="24"/>
        </w:rPr>
        <w:t xml:space="preserve">否则不得享受相关中小企业扶持政策</w:t>
      </w:r>
      <w:r>
        <w:rPr>
          <w:sz w:val="24"/>
        </w:rPr>
        <w:t xml:space="preserve">。</w:t>
      </w:r>
      <w:r/>
    </w:p>
    <w:p>
      <w:pPr>
        <w:spacing w:line="360" w:lineRule="auto"/>
        <w:tabs>
          <w:tab w:val="left" w:pos="5580" w:leader="none"/>
        </w:tabs>
        <w:rPr>
          <w:sz w:val="24"/>
        </w:rPr>
      </w:pPr>
      <w:r>
        <w:rPr>
          <w:sz w:val="24"/>
        </w:rPr>
        <w:t xml:space="preserve">（2）如本项目（包）专门面向中小/小微企业采购，须提供《中小企业声明函》</w:t>
      </w:r>
      <w:r>
        <w:rPr>
          <w:color w:val="000000"/>
          <w:sz w:val="24"/>
          <w:szCs w:val="20"/>
        </w:rPr>
        <w:t xml:space="preserve">（实质性格式）</w:t>
      </w:r>
      <w:r>
        <w:rPr>
          <w:sz w:val="24"/>
        </w:rPr>
        <w:t xml:space="preserve">。</w:t>
      </w:r>
      <w:r/>
    </w:p>
    <w:p>
      <w:pPr>
        <w:spacing w:line="360" w:lineRule="auto"/>
        <w:tabs>
          <w:tab w:val="left" w:pos="5580" w:leader="none"/>
        </w:tabs>
        <w:rPr>
          <w:sz w:val="24"/>
        </w:rPr>
      </w:pPr>
      <w:r>
        <w:rPr>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sz w:val="24"/>
        </w:rPr>
      </w:pPr>
      <w:r>
        <w:rPr>
          <w:sz w:val="24"/>
        </w:rPr>
        <w:t xml:space="preserve">（4）其它</w:t>
      </w:r>
      <w:r/>
    </w:p>
    <w:p>
      <w:pPr>
        <w:spacing w:line="360" w:lineRule="auto"/>
        <w:tabs>
          <w:tab w:val="left" w:pos="5580" w:leader="none"/>
        </w:tabs>
        <w:rPr>
          <w:sz w:val="24"/>
        </w:rPr>
      </w:pPr>
      <w:r>
        <w:rPr>
          <w:sz w:val="24"/>
        </w:rPr>
        <w:t xml:space="preserve">1）中小企业参加政府采购活动，应当出具此格式文件。《中小企业声明函》由参加政府采购活动的供应商出具。联合体</w:t>
      </w:r>
      <w:r>
        <w:rPr>
          <w:rFonts w:hint="eastAsia"/>
          <w:sz w:val="24"/>
        </w:rPr>
        <w:t xml:space="preserve">响应</w:t>
      </w:r>
      <w:r>
        <w:rPr>
          <w:sz w:val="24"/>
        </w:rPr>
        <w:t xml:space="preserve">的，《中小企业声明函》由牵头人出具。</w:t>
      </w:r>
      <w:r/>
    </w:p>
    <w:p>
      <w:pPr>
        <w:spacing w:line="360" w:lineRule="auto"/>
        <w:tabs>
          <w:tab w:val="left" w:pos="5580" w:leader="none"/>
        </w:tabs>
        <w:rPr>
          <w:sz w:val="24"/>
        </w:rPr>
      </w:pPr>
      <w:r>
        <w:rPr>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sz w:val="24"/>
        </w:rPr>
      </w:pPr>
      <w:r>
        <w:rPr>
          <w:sz w:val="24"/>
        </w:rPr>
        <w:t xml:space="preserve">3）对于多标的的采购项目，供应商应充分、准确地了解所投产品制造企业信息。对相关情况了解不清楚的，不建议填报本声明函。</w:t>
      </w:r>
      <w:r/>
    </w:p>
    <w:p>
      <w:pPr>
        <w:spacing w:line="360" w:lineRule="auto"/>
        <w:tabs>
          <w:tab w:val="left" w:pos="5580" w:leader="none"/>
        </w:tabs>
        <w:rPr>
          <w:sz w:val="24"/>
        </w:rPr>
      </w:pPr>
      <w:r>
        <w:rPr>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spacing w:line="360" w:lineRule="auto"/>
        <w:tabs>
          <w:tab w:val="left" w:pos="5580" w:leader="none"/>
        </w:tabs>
        <w:rPr>
          <w:sz w:val="24"/>
        </w:rPr>
      </w:pPr>
      <w:r>
        <w:rPr>
          <w:sz w:val="24"/>
        </w:rPr>
      </w:r>
      <w:r/>
    </w:p>
    <w:p>
      <w:pPr>
        <w:jc w:val="center"/>
        <w:widowControl/>
        <w:rPr>
          <w:b/>
          <w:bCs/>
          <w:color w:val="000000"/>
          <w:sz w:val="36"/>
          <w:szCs w:val="36"/>
        </w:rPr>
      </w:pPr>
      <w:r>
        <w:rPr>
          <w:color w:val="000000"/>
          <w:sz w:val="24"/>
        </w:rPr>
        <w:br w:type="page" w:clear="all"/>
      </w:r>
      <w:r>
        <w:rPr>
          <w:rFonts w:hint="eastAsia"/>
          <w:b/>
          <w:bCs/>
          <w:color w:val="000000"/>
          <w:sz w:val="36"/>
          <w:szCs w:val="36"/>
        </w:rPr>
        <w:t xml:space="preserve">中小企业声明函（工程、服务）格式</w:t>
      </w:r>
      <w:r/>
    </w:p>
    <w:p>
      <w:pPr>
        <w:ind w:firstLine="504"/>
        <w:spacing w:line="360" w:lineRule="auto"/>
        <w:rPr>
          <w:spacing w:val="6"/>
          <w:sz w:val="24"/>
        </w:rPr>
      </w:pPr>
      <w:r>
        <w:rPr>
          <w:spacing w:val="6"/>
          <w:sz w:val="24"/>
        </w:rPr>
        <w:t xml:space="preserve">本公司</w:t>
      </w:r>
      <w:r>
        <w:rPr>
          <w:rFonts w:hint="eastAsia"/>
          <w:spacing w:val="6"/>
          <w:sz w:val="24"/>
          <w:u w:val="single"/>
          <w:lang w:val="en-US" w:eastAsia="zh-CN"/>
        </w:rPr>
        <w:t xml:space="preserve">     </w:t>
      </w:r>
      <w:r>
        <w:rPr>
          <w:spacing w:val="6"/>
          <w:sz w:val="24"/>
        </w:rPr>
        <w:t xml:space="preserve">郑重声明，根据《政府采购促进中小企业发展管理办法》（财库﹝2020﹞46 号）的规定，本公司</w:t>
      </w:r>
      <w:r>
        <w:rPr>
          <w:rFonts w:hint="eastAsia"/>
          <w:spacing w:val="6"/>
          <w:sz w:val="24"/>
          <w:u w:val="single"/>
          <w:lang w:val="en-US" w:eastAsia="zh-CN"/>
        </w:rPr>
        <w:t xml:space="preserve">     </w:t>
      </w:r>
      <w:r>
        <w:rPr>
          <w:spacing w:val="6"/>
          <w:sz w:val="24"/>
        </w:rPr>
        <w:t xml:space="preserve">参加</w:t>
      </w:r>
      <w:r>
        <w:rPr>
          <w:rFonts w:hint="eastAsia"/>
          <w:spacing w:val="6"/>
          <w:sz w:val="24"/>
          <w:u w:val="single"/>
          <w:lang w:val="en-US" w:eastAsia="zh-CN"/>
        </w:rPr>
        <w:t xml:space="preserve">     </w:t>
      </w:r>
      <w:r>
        <w:rPr>
          <w:spacing w:val="6"/>
          <w:sz w:val="24"/>
        </w:rPr>
        <w:t xml:space="preserve">（单位名称）的</w:t>
      </w:r>
      <w:r>
        <w:rPr>
          <w:rFonts w:hint="eastAsia"/>
          <w:spacing w:val="6"/>
          <w:sz w:val="24"/>
          <w:u w:val="single"/>
          <w:lang w:val="en-US" w:eastAsia="zh-CN"/>
        </w:rPr>
        <w:t xml:space="preserve">     </w:t>
      </w:r>
      <w:r>
        <w:rPr>
          <w:spacing w:val="6"/>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w:t>
      </w:r>
      <w:r>
        <w:rPr>
          <w:spacing w:val="6"/>
          <w:sz w:val="24"/>
          <w:vertAlign w:val="superscript"/>
        </w:rPr>
        <w:t xml:space="preserve">1</w:t>
      </w:r>
      <w:r>
        <w:rPr>
          <w:spacing w:val="6"/>
          <w:sz w:val="24"/>
        </w:rPr>
        <w:t xml:space="preserve">，属于（中型企业、小型企业、微型企业）；</w:t>
      </w:r>
      <w:r/>
    </w:p>
    <w:p>
      <w:pPr>
        <w:ind w:firstLine="504"/>
        <w:spacing w:line="360" w:lineRule="auto"/>
        <w:rPr>
          <w:spacing w:val="6"/>
          <w:sz w:val="24"/>
        </w:rPr>
      </w:pPr>
      <w:r>
        <w:rPr>
          <w:spacing w:val="6"/>
          <w:sz w:val="24"/>
        </w:rPr>
        <w:t xml:space="preserve">2.</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，从业人员______人，营业收入为______万元，资产总额为______万元，属于</w:t>
      </w:r>
      <w:r>
        <w:rPr>
          <w:spacing w:val="6"/>
          <w:sz w:val="24"/>
          <w:u w:val="single"/>
        </w:rPr>
        <w:t xml:space="preserve">（中型企业、小型企业、微型企业）</w:t>
      </w:r>
      <w:r>
        <w:rPr>
          <w:spacing w:val="6"/>
          <w:sz w:val="24"/>
        </w:rPr>
        <w:t xml:space="preserve">；</w:t>
      </w:r>
      <w:r/>
    </w:p>
    <w:p>
      <w:pPr>
        <w:ind w:firstLine="504"/>
        <w:spacing w:line="360" w:lineRule="auto"/>
        <w:rPr>
          <w:spacing w:val="6"/>
          <w:sz w:val="24"/>
        </w:rPr>
      </w:pPr>
      <w:r>
        <w:rPr>
          <w:spacing w:val="6"/>
          <w:sz w:val="24"/>
        </w:rPr>
      </w:r>
      <w:r/>
    </w:p>
    <w:p>
      <w:pPr>
        <w:ind w:firstLine="504"/>
        <w:spacing w:line="360" w:lineRule="auto"/>
        <w:rPr>
          <w:spacing w:val="6"/>
          <w:sz w:val="24"/>
        </w:rPr>
      </w:pPr>
      <w:r>
        <w:rPr>
          <w:spacing w:val="6"/>
          <w:sz w:val="24"/>
        </w:rPr>
        <w:t xml:space="preserve">……</w:t>
      </w:r>
      <w:r/>
    </w:p>
    <w:p>
      <w:pPr>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p>
    <w:p>
      <w:pPr>
        <w:ind w:firstLine="504"/>
        <w:spacing w:line="360" w:lineRule="auto"/>
        <w:rPr>
          <w:spacing w:val="6"/>
          <w:sz w:val="24"/>
        </w:rPr>
      </w:pPr>
      <w:r>
        <w:rPr>
          <w:spacing w:val="6"/>
          <w:sz w:val="24"/>
        </w:rPr>
        <w:t xml:space="preserve">本企业对上述声明内容的真实性负责。如有虚假，将依法承担相应责任。</w:t>
      </w:r>
      <w:r/>
    </w:p>
    <w:p>
      <w:pPr>
        <w:ind w:right="360" w:firstLine="480"/>
        <w:jc w:val="right"/>
        <w:spacing w:line="360" w:lineRule="auto"/>
        <w:rPr>
          <w:color w:val="000000"/>
          <w:sz w:val="24"/>
        </w:rPr>
      </w:pPr>
      <w:r>
        <w:rPr>
          <w:color w:val="000000"/>
          <w:sz w:val="24"/>
        </w:rPr>
      </w:r>
      <w:r/>
    </w:p>
    <w:p>
      <w:pPr>
        <w:ind w:right="360" w:firstLine="480"/>
        <w:jc w:val="right"/>
        <w:spacing w:line="360" w:lineRule="auto"/>
        <w:rPr>
          <w:color w:val="000000"/>
          <w:sz w:val="24"/>
        </w:rPr>
      </w:pPr>
      <w:r>
        <w:rPr>
          <w:color w:val="000000"/>
          <w:sz w:val="24"/>
        </w:rPr>
        <w:t xml:space="preserve">企业名称（加盖公章）：________</w:t>
      </w:r>
      <w:r/>
    </w:p>
    <w:p>
      <w:pPr>
        <w:ind w:right="360" w:firstLine="480"/>
        <w:jc w:val="right"/>
        <w:spacing w:line="360" w:lineRule="auto"/>
        <w:rPr>
          <w:color w:val="000000"/>
          <w:sz w:val="24"/>
        </w:rPr>
      </w:pPr>
      <w:r>
        <w:rPr>
          <w:color w:val="000000"/>
          <w:sz w:val="24"/>
        </w:rPr>
        <w:t xml:space="preserve">日 期：________</w:t>
      </w:r>
      <w:r/>
    </w:p>
    <w:p>
      <w:pPr>
        <w:jc w:val="left"/>
        <w:rPr>
          <w:color w:val="000000"/>
          <w:sz w:val="24"/>
          <w:szCs w:val="21"/>
        </w:rPr>
      </w:pPr>
      <w:r>
        <w:rPr>
          <w:color w:val="000000"/>
          <w:sz w:val="24"/>
          <w:szCs w:val="21"/>
        </w:rPr>
      </w:r>
      <w:r/>
    </w:p>
    <w:p>
      <w:pPr>
        <w:jc w:val="left"/>
        <w:rPr>
          <w:color w:val="000000"/>
          <w:sz w:val="24"/>
          <w:szCs w:val="21"/>
        </w:rPr>
      </w:pPr>
      <w:r>
        <w:rPr>
          <w:color w:val="000000"/>
          <w:sz w:val="24"/>
          <w:szCs w:val="21"/>
        </w:rPr>
      </w:r>
      <w:r/>
    </w:p>
    <w:tbl>
      <w:tblPr>
        <w:tblStyle w:val="855"/>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631"/>
      </w:tblGrid>
      <w:tr>
        <w:trPr/>
        <w:tc>
          <w:tcPr>
            <w:tcW w:w="8946" w:type="dxa"/>
            <w:vAlign w:val="top"/>
            <w:textDirection w:val="lrTb"/>
            <w:noWrap w:val="false"/>
          </w:tcPr>
          <w:p>
            <w:pPr>
              <w:jc w:val="left"/>
              <w:rPr>
                <w:color w:val="000000"/>
                <w:szCs w:val="21"/>
              </w:rPr>
            </w:pPr>
            <w:r>
              <w:rPr>
                <w:color w:val="000000"/>
                <w:szCs w:val="21"/>
                <w:vertAlign w:val="superscript"/>
              </w:rPr>
              <w:t xml:space="preserve">1</w:t>
            </w:r>
            <w:r>
              <w:rPr>
                <w:color w:val="000000"/>
                <w:szCs w:val="21"/>
              </w:rPr>
              <w:t xml:space="preserve">从业人员、营业收入、资产总额填报上一年度数据，无上一年度数据的新成立企业可不填报。</w:t>
            </w:r>
            <w:r/>
          </w:p>
        </w:tc>
      </w:tr>
    </w:tbl>
    <w:p>
      <w:pPr>
        <w:jc w:val="left"/>
        <w:rPr>
          <w:color w:val="000000"/>
          <w:szCs w:val="21"/>
          <w:vertAlign w:val="superscript"/>
        </w:rPr>
      </w:pPr>
      <w:r>
        <w:rPr>
          <w:color w:val="000000"/>
          <w:szCs w:val="21"/>
          <w:vertAlign w:val="superscript"/>
        </w:rPr>
      </w:r>
      <w:r/>
    </w:p>
    <w:p>
      <w:pPr>
        <w:ind w:right="360" w:firstLine="480"/>
        <w:jc w:val="right"/>
        <w:spacing w:line="360" w:lineRule="auto"/>
        <w:rPr>
          <w:color w:val="000000"/>
          <w:sz w:val="24"/>
        </w:rPr>
      </w:pPr>
      <w:r>
        <w:rPr>
          <w:color w:val="000000"/>
          <w:sz w:val="24"/>
        </w:rPr>
      </w:r>
      <w:r/>
    </w:p>
    <w:p>
      <w:pPr>
        <w:jc w:val="center"/>
        <w:spacing w:before="240" w:after="240" w:line="360" w:lineRule="auto"/>
        <w:rPr>
          <w:rFonts w:hint="eastAsia"/>
          <w:color w:val="000000"/>
          <w:sz w:val="24"/>
          <w:szCs w:val="20"/>
        </w:rPr>
      </w:pPr>
      <w:r>
        <w:rPr>
          <w:rFonts w:hint="eastAsia"/>
          <w:color w:val="000000"/>
          <w:sz w:val="24"/>
          <w:szCs w:val="20"/>
        </w:rPr>
      </w:r>
      <w:r/>
    </w:p>
    <w:p>
      <w:pPr>
        <w:jc w:val="center"/>
        <w:spacing w:before="240" w:after="240" w:line="360" w:lineRule="auto"/>
        <w:rPr>
          <w:rFonts w:hint="eastAsia"/>
          <w:color w:val="000000"/>
          <w:sz w:val="24"/>
          <w:szCs w:val="20"/>
        </w:rPr>
      </w:pPr>
      <w:r>
        <w:rPr>
          <w:rFonts w:hint="eastAsia"/>
          <w:color w:val="000000"/>
          <w:sz w:val="24"/>
          <w:szCs w:val="20"/>
        </w:rPr>
      </w:r>
      <w:r/>
    </w:p>
    <w:p>
      <w:pPr>
        <w:jc w:val="center"/>
        <w:spacing w:before="240" w:after="240" w:line="360" w:lineRule="auto"/>
        <w:rPr>
          <w:rFonts w:hint="eastAsia"/>
          <w:color w:val="000000"/>
          <w:sz w:val="24"/>
          <w:szCs w:val="20"/>
        </w:rPr>
      </w:pPr>
      <w:r>
        <w:rPr>
          <w:rFonts w:hint="eastAsia"/>
          <w:color w:val="000000"/>
          <w:sz w:val="24"/>
          <w:szCs w:val="20"/>
        </w:rPr>
      </w:r>
      <w:r/>
    </w:p>
    <w:p>
      <w:pPr>
        <w:jc w:val="both"/>
        <w:spacing w:before="240" w:after="240" w:line="360" w:lineRule="auto"/>
        <w:rPr>
          <w:color w:val="000000"/>
          <w:sz w:val="24"/>
          <w:szCs w:val="20"/>
        </w:rPr>
      </w:pPr>
      <w:r>
        <w:rPr>
          <w:color w:val="000000"/>
          <w:sz w:val="24"/>
          <w:szCs w:val="20"/>
        </w:rPr>
      </w:r>
      <w:r/>
    </w:p>
    <w:p>
      <w:pPr>
        <w:jc w:val="center"/>
        <w:rPr>
          <w:b/>
          <w:color w:val="000000"/>
          <w:sz w:val="36"/>
          <w:szCs w:val="36"/>
        </w:rPr>
      </w:pPr>
      <w:r>
        <w:rPr>
          <w:rFonts w:hint="eastAsia"/>
          <w:b/>
          <w:color w:val="000000"/>
          <w:sz w:val="36"/>
          <w:szCs w:val="36"/>
        </w:rPr>
        <w:t xml:space="preserve">残疾人福利性单位声明函格式</w:t>
      </w:r>
      <w:r>
        <w:rPr>
          <w:b/>
          <w:color w:val="000000"/>
          <w:sz w:val="36"/>
          <w:szCs w:val="36"/>
        </w:rPr>
        <w:t xml:space="preserve">       </w:t>
      </w:r>
      <w:r/>
    </w:p>
    <w:p>
      <w:pPr>
        <w:jc w:val="center"/>
        <w:rPr>
          <w:color w:val="000000"/>
          <w:sz w:val="36"/>
          <w:szCs w:val="36"/>
        </w:rPr>
      </w:pPr>
      <w:r>
        <w:rPr>
          <w:color w:val="000000"/>
          <w:sz w:val="36"/>
          <w:szCs w:val="36"/>
        </w:rPr>
      </w:r>
      <w:r/>
    </w:p>
    <w:p>
      <w:pPr>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 141</w:t>
      </w:r>
      <w:r>
        <w:rPr>
          <w:spacing w:val="6"/>
          <w:sz w:val="24"/>
        </w:rPr>
        <w:t xml:space="preserve">号）的规定，本单位</w:t>
      </w:r>
      <w:r>
        <w:rPr>
          <w:b/>
          <w:sz w:val="24"/>
        </w:rPr>
        <w:t xml:space="preserve">（请进行勾选）</w:t>
      </w:r>
      <w:r>
        <w:rPr>
          <w:spacing w:val="6"/>
          <w:sz w:val="24"/>
        </w:rPr>
        <w:t xml:space="preserve">：</w:t>
      </w:r>
      <w:r/>
    </w:p>
    <w:p>
      <w:pPr>
        <w:ind w:firstLine="482"/>
        <w:spacing w:line="588" w:lineRule="exact"/>
        <w:rPr>
          <w:b/>
          <w:spacing w:val="6"/>
          <w:sz w:val="24"/>
        </w:rPr>
      </w:pPr>
      <w:r>
        <w:rPr>
          <w:b/>
          <w:sz w:val="24"/>
        </w:rPr>
        <w:t xml:space="preserve">□</w:t>
      </w:r>
      <w:r>
        <w:rPr>
          <w:b/>
          <w:spacing w:val="6"/>
          <w:sz w:val="24"/>
        </w:rPr>
        <w:t xml:space="preserve">不属于符合条件的残疾人福利性单位。</w:t>
      </w:r>
      <w:r/>
    </w:p>
    <w:p>
      <w:pPr>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spacing w:val="6"/>
          <w:sz w:val="24"/>
        </w:rPr>
      </w:pPr>
      <w:r>
        <w:rPr>
          <w:b/>
          <w:spacing w:val="6"/>
          <w:sz w:val="24"/>
        </w:rPr>
        <w:t xml:space="preserve">本单位对上述声明的真实性负责。如有虚假，将依法承担相应责任。</w:t>
      </w:r>
      <w:r/>
    </w:p>
    <w:p>
      <w:pPr>
        <w:ind w:firstLine="504"/>
        <w:spacing w:line="588" w:lineRule="exact"/>
        <w:rPr>
          <w:spacing w:val="6"/>
          <w:sz w:val="24"/>
        </w:rPr>
      </w:pPr>
      <w:r>
        <w:rPr>
          <w:spacing w:val="6"/>
          <w:sz w:val="24"/>
        </w:rPr>
      </w:r>
      <w:r/>
    </w:p>
    <w:p>
      <w:pPr>
        <w:ind w:firstLine="504"/>
        <w:spacing w:line="588" w:lineRule="exact"/>
        <w:rPr>
          <w:spacing w:val="6"/>
          <w:sz w:val="24"/>
        </w:rPr>
      </w:pPr>
      <w:r>
        <w:rPr>
          <w:spacing w:val="6"/>
          <w:sz w:val="24"/>
        </w:rPr>
      </w:r>
      <w:r/>
    </w:p>
    <w:p>
      <w:pPr>
        <w:ind w:right="1560" w:firstLine="504"/>
        <w:jc w:val="center"/>
        <w:spacing w:line="588" w:lineRule="exact"/>
        <w:tabs>
          <w:tab w:val="left" w:pos="4860" w:leader="none"/>
        </w:tabs>
        <w:rPr>
          <w:spacing w:val="6"/>
          <w:sz w:val="24"/>
        </w:rPr>
      </w:pPr>
      <w:r>
        <w:rPr>
          <w:spacing w:val="6"/>
          <w:sz w:val="24"/>
        </w:rPr>
        <w:t xml:space="preserve">               单位名称（盖章）：</w:t>
      </w:r>
      <w:r/>
    </w:p>
    <w:p>
      <w:pPr>
        <w:ind w:right="1560" w:firstLine="504"/>
        <w:jc w:val="center"/>
        <w:spacing w:line="588" w:lineRule="exact"/>
        <w:tabs>
          <w:tab w:val="left" w:pos="4860" w:leader="none"/>
        </w:tabs>
        <w:rPr>
          <w:spacing w:val="6"/>
          <w:sz w:val="24"/>
        </w:rPr>
      </w:pPr>
      <w:r>
        <w:rPr>
          <w:spacing w:val="6"/>
          <w:sz w:val="24"/>
        </w:rPr>
        <w:t xml:space="preserve">       日  期：</w:t>
      </w:r>
      <w:r/>
    </w:p>
    <w:p>
      <w:pPr>
        <w:jc w:val="left"/>
        <w:widowControl/>
        <w:rPr>
          <w:color w:val="000000"/>
          <w:sz w:val="24"/>
          <w:szCs w:val="20"/>
        </w:rPr>
      </w:pPr>
      <w:r>
        <w:rPr>
          <w:color w:val="000000"/>
          <w:sz w:val="24"/>
          <w:szCs w:val="20"/>
        </w:rPr>
      </w:r>
      <w:r/>
    </w:p>
    <w:p>
      <w:pPr>
        <w:jc w:val="left"/>
        <w:widowControl/>
        <w:rPr>
          <w:color w:val="000000"/>
          <w:sz w:val="24"/>
          <w:szCs w:val="20"/>
        </w:rPr>
      </w:pPr>
      <w:r>
        <w:rPr>
          <w:color w:val="000000"/>
          <w:sz w:val="24"/>
          <w:szCs w:val="20"/>
        </w:rPr>
      </w:r>
      <w:r/>
    </w:p>
    <w:p>
      <w:pPr>
        <w:jc w:val="left"/>
        <w:widowControl/>
        <w:rPr>
          <w:color w:val="000000"/>
          <w:sz w:val="24"/>
          <w:szCs w:val="20"/>
        </w:rPr>
      </w:pPr>
      <w:r>
        <w:rPr>
          <w:color w:val="000000"/>
          <w:sz w:val="24"/>
          <w:szCs w:val="20"/>
        </w:rPr>
      </w:r>
      <w:r/>
    </w:p>
    <w:p>
      <w:pPr>
        <w:jc w:val="left"/>
        <w:widowControl/>
        <w:rPr>
          <w:color w:val="000000"/>
          <w:sz w:val="24"/>
          <w:szCs w:val="20"/>
        </w:rPr>
      </w:pPr>
      <w:r>
        <w:rPr>
          <w:color w:val="000000"/>
          <w:sz w:val="24"/>
          <w:szCs w:val="20"/>
        </w:rPr>
      </w:r>
      <w:r/>
    </w:p>
    <w:p>
      <w:pPr>
        <w:jc w:val="left"/>
        <w:widowControl/>
        <w:rPr>
          <w:color w:val="000000"/>
          <w:sz w:val="24"/>
          <w:szCs w:val="20"/>
        </w:rPr>
      </w:pPr>
      <w:r>
        <w:rPr>
          <w:color w:val="000000"/>
          <w:sz w:val="24"/>
          <w:szCs w:val="20"/>
        </w:rPr>
      </w:r>
      <w:r/>
    </w:p>
    <w:p>
      <w:pPr>
        <w:jc w:val="left"/>
        <w:widowControl/>
        <w:rPr>
          <w:color w:val="000000"/>
          <w:sz w:val="24"/>
          <w:szCs w:val="20"/>
        </w:rPr>
      </w:pPr>
      <w:r>
        <w:rPr>
          <w:color w:val="000000"/>
          <w:sz w:val="24"/>
          <w:szCs w:val="20"/>
        </w:rPr>
      </w:r>
      <w:r/>
    </w:p>
    <w:p>
      <w:pPr>
        <w:jc w:val="left"/>
        <w:widowControl/>
        <w:rPr>
          <w:color w:val="000000"/>
          <w:sz w:val="24"/>
          <w:szCs w:val="20"/>
        </w:rPr>
      </w:pPr>
      <w:r>
        <w:rPr>
          <w:color w:val="000000"/>
          <w:sz w:val="24"/>
          <w:szCs w:val="20"/>
        </w:rPr>
      </w:r>
      <w:r/>
    </w:p>
    <w:p>
      <w:pPr>
        <w:jc w:val="left"/>
        <w:widowControl/>
        <w:rPr>
          <w:color w:val="000000"/>
          <w:sz w:val="24"/>
          <w:szCs w:val="20"/>
        </w:rPr>
      </w:pPr>
      <w:r>
        <w:rPr>
          <w:color w:val="000000"/>
          <w:sz w:val="24"/>
          <w:szCs w:val="20"/>
        </w:rPr>
      </w:r>
      <w:r/>
    </w:p>
    <w:p>
      <w:pPr>
        <w:jc w:val="left"/>
        <w:widowControl/>
        <w:rPr>
          <w:color w:val="000000"/>
          <w:sz w:val="24"/>
          <w:szCs w:val="20"/>
        </w:rPr>
      </w:pPr>
      <w:r>
        <w:rPr>
          <w:color w:val="000000"/>
          <w:sz w:val="24"/>
          <w:szCs w:val="20"/>
        </w:rPr>
      </w:r>
      <w:r/>
    </w:p>
    <w:p>
      <w:pPr>
        <w:jc w:val="left"/>
        <w:widowControl/>
        <w:rPr>
          <w:color w:val="000000"/>
          <w:sz w:val="24"/>
          <w:szCs w:val="20"/>
        </w:rPr>
      </w:pPr>
      <w:r>
        <w:rPr>
          <w:color w:val="000000"/>
          <w:sz w:val="24"/>
          <w:szCs w:val="20"/>
        </w:rPr>
      </w:r>
      <w:r/>
    </w:p>
    <w:p>
      <w:pPr>
        <w:jc w:val="left"/>
        <w:widowControl/>
        <w:rPr>
          <w:color w:val="000000"/>
          <w:sz w:val="24"/>
          <w:szCs w:val="20"/>
        </w:rPr>
      </w:pPr>
      <w:r>
        <w:rPr>
          <w:color w:val="000000"/>
          <w:sz w:val="24"/>
          <w:szCs w:val="20"/>
        </w:rPr>
      </w:r>
      <w:r/>
    </w:p>
    <w:p>
      <w:pPr>
        <w:jc w:val="left"/>
        <w:widowControl/>
        <w:rPr>
          <w:color w:val="000000"/>
          <w:sz w:val="24"/>
          <w:szCs w:val="20"/>
        </w:rPr>
      </w:pPr>
      <w:r>
        <w:rPr>
          <w:color w:val="000000"/>
          <w:sz w:val="24"/>
          <w:szCs w:val="20"/>
        </w:rPr>
      </w:r>
      <w:r/>
    </w:p>
    <w:p>
      <w:pPr>
        <w:jc w:val="left"/>
        <w:widowControl/>
        <w:rPr>
          <w:color w:val="000000"/>
          <w:sz w:val="24"/>
          <w:szCs w:val="20"/>
        </w:rPr>
      </w:pPr>
      <w:r>
        <w:rPr>
          <w:color w:val="000000"/>
          <w:sz w:val="24"/>
          <w:szCs w:val="20"/>
        </w:rPr>
      </w:r>
      <w:r/>
    </w:p>
    <w:p>
      <w:pPr>
        <w:jc w:val="left"/>
        <w:widowControl/>
        <w:rPr>
          <w:color w:val="000000"/>
          <w:sz w:val="24"/>
          <w:szCs w:val="20"/>
        </w:rPr>
      </w:pPr>
      <w:r>
        <w:rPr>
          <w:color w:val="000000"/>
          <w:sz w:val="24"/>
          <w:szCs w:val="20"/>
        </w:rPr>
      </w:r>
      <w:r/>
    </w:p>
    <w:p>
      <w:pPr>
        <w:jc w:val="left"/>
        <w:widowControl/>
        <w:rPr>
          <w:color w:val="000000"/>
          <w:sz w:val="24"/>
          <w:szCs w:val="20"/>
        </w:rPr>
      </w:pPr>
      <w:r>
        <w:rPr>
          <w:color w:val="000000"/>
          <w:sz w:val="24"/>
          <w:szCs w:val="20"/>
        </w:rPr>
      </w:r>
      <w:r/>
    </w:p>
    <w:p>
      <w:pPr>
        <w:jc w:val="left"/>
        <w:widowControl/>
        <w:rPr>
          <w:color w:val="000000"/>
          <w:sz w:val="24"/>
          <w:szCs w:val="20"/>
        </w:rPr>
      </w:pPr>
      <w:r>
        <w:rPr>
          <w:color w:val="000000"/>
          <w:sz w:val="24"/>
          <w:szCs w:val="20"/>
        </w:rPr>
      </w:r>
      <w:r/>
    </w:p>
    <w:p>
      <w:pPr>
        <w:jc w:val="left"/>
        <w:widowControl/>
        <w:rPr>
          <w:color w:val="000000"/>
          <w:sz w:val="24"/>
          <w:szCs w:val="20"/>
        </w:rPr>
      </w:pPr>
      <w:r>
        <w:rPr>
          <w:color w:val="000000"/>
          <w:sz w:val="24"/>
          <w:szCs w:val="20"/>
        </w:rPr>
      </w:r>
      <w:r/>
    </w:p>
    <w:p>
      <w:pPr>
        <w:jc w:val="left"/>
        <w:widowControl/>
        <w:rPr>
          <w:color w:val="000000"/>
          <w:sz w:val="24"/>
          <w:szCs w:val="20"/>
        </w:rPr>
      </w:pPr>
      <w:r>
        <w:rPr>
          <w:color w:val="000000"/>
          <w:sz w:val="24"/>
          <w:szCs w:val="20"/>
        </w:rPr>
      </w:r>
      <w:r/>
    </w:p>
    <w:p>
      <w:pPr>
        <w:jc w:val="left"/>
        <w:widowControl/>
        <w:rPr>
          <w:color w:val="000000"/>
          <w:sz w:val="24"/>
          <w:szCs w:val="20"/>
        </w:rPr>
      </w:pPr>
      <w:r>
        <w:rPr>
          <w:color w:val="000000"/>
          <w:sz w:val="24"/>
          <w:szCs w:val="20"/>
        </w:rPr>
      </w:r>
      <w:r/>
    </w:p>
    <w:p>
      <w:pPr>
        <w:spacing w:line="360" w:lineRule="auto"/>
        <w:rPr>
          <w:color w:val="000000"/>
          <w:sz w:val="24"/>
          <w:szCs w:val="20"/>
        </w:rPr>
        <w:outlineLvl w:val="2"/>
      </w:pPr>
      <w:r>
        <w:rPr>
          <w:color w:val="000000"/>
          <w:sz w:val="24"/>
          <w:szCs w:val="20"/>
        </w:rPr>
        <w:t xml:space="preserve">2-3</w:t>
      </w:r>
      <w:r>
        <w:rPr>
          <w:sz w:val="24"/>
        </w:rPr>
        <w:t xml:space="preserve">其它落实政府采购政策的资格要求</w:t>
      </w:r>
      <w:r>
        <w:rPr>
          <w:color w:val="000000"/>
          <w:sz w:val="24"/>
          <w:szCs w:val="20"/>
        </w:rPr>
        <w:t xml:space="preserve">（如有）</w:t>
      </w:r>
      <w:r/>
    </w:p>
    <w:p>
      <w:pPr>
        <w:jc w:val="left"/>
        <w:widowControl/>
        <w:rPr>
          <w:sz w:val="24"/>
        </w:rPr>
      </w:pPr>
      <w:r>
        <w:rPr>
          <w:sz w:val="24"/>
        </w:rPr>
      </w:r>
      <w:r/>
    </w:p>
    <w:p>
      <w:pPr>
        <w:jc w:val="left"/>
        <w:widowControl/>
        <w:rPr>
          <w:sz w:val="24"/>
        </w:rPr>
      </w:pPr>
      <w:r>
        <w:rPr>
          <w:sz w:val="24"/>
        </w:rPr>
        <w:br w:type="page" w:clear="all"/>
      </w:r>
      <w:r/>
    </w:p>
    <w:p>
      <w:pPr>
        <w:spacing w:line="360" w:lineRule="auto"/>
        <w:rPr>
          <w:color w:val="000000"/>
          <w:sz w:val="24"/>
          <w:szCs w:val="20"/>
        </w:rPr>
        <w:outlineLvl w:val="2"/>
      </w:pPr>
      <w:r>
        <w:rPr>
          <w:color w:val="000000"/>
          <w:sz w:val="24"/>
          <w:szCs w:val="20"/>
        </w:rPr>
        <w:t xml:space="preserve">3 </w:t>
      </w:r>
      <w:r>
        <w:rPr>
          <w:sz w:val="24"/>
        </w:rPr>
        <w:t xml:space="preserve">本项目的特定资格要求</w:t>
      </w:r>
      <w:r>
        <w:rPr>
          <w:color w:val="000000"/>
          <w:sz w:val="24"/>
          <w:szCs w:val="20"/>
        </w:rPr>
        <w:t xml:space="preserve">（如有）</w:t>
      </w:r>
      <w:r/>
    </w:p>
    <w:p>
      <w:pPr>
        <w:jc w:val="left"/>
        <w:widowControl/>
        <w:rPr>
          <w:sz w:val="24"/>
        </w:rPr>
      </w:pPr>
      <w:r>
        <w:rPr>
          <w:sz w:val="24"/>
        </w:rPr>
      </w:r>
      <w:r/>
    </w:p>
    <w:p>
      <w:pPr>
        <w:spacing w:line="360" w:lineRule="auto"/>
        <w:rPr>
          <w:sz w:val="24"/>
          <w:szCs w:val="20"/>
        </w:rPr>
        <w:outlineLvl w:val="2"/>
      </w:pPr>
      <w:r>
        <w:rPr>
          <w:color w:val="000000"/>
          <w:sz w:val="24"/>
          <w:szCs w:val="20"/>
        </w:rPr>
        <w:t xml:space="preserve">3-2其他</w:t>
      </w:r>
      <w:r>
        <w:rPr>
          <w:sz w:val="24"/>
          <w:szCs w:val="20"/>
        </w:rPr>
        <w:t xml:space="preserve">特定资格要求</w:t>
      </w:r>
      <w:r/>
    </w:p>
    <w:p>
      <w:pPr>
        <w:spacing w:line="360" w:lineRule="auto"/>
        <w:tabs>
          <w:tab w:val="left" w:pos="5580" w:leader="none"/>
        </w:tabs>
        <w:rPr>
          <w:sz w:val="24"/>
          <w:szCs w:val="20"/>
        </w:rPr>
      </w:pPr>
      <w:r>
        <w:rPr>
          <w:sz w:val="24"/>
          <w:szCs w:val="20"/>
        </w:rPr>
      </w:r>
      <w:r/>
    </w:p>
    <w:p>
      <w:pPr>
        <w:spacing w:line="360" w:lineRule="auto"/>
        <w:rPr>
          <w:color w:val="000000"/>
          <w:sz w:val="24"/>
          <w:szCs w:val="20"/>
        </w:rPr>
        <w:outlineLvl w:val="2"/>
      </w:pPr>
      <w:r>
        <w:rPr>
          <w:b/>
          <w:sz w:val="24"/>
        </w:rPr>
        <w:br w:type="page" w:clear="all"/>
      </w:r>
      <w:bookmarkStart w:id="672" w:name="_Toc127151557"/>
      <w:r/>
      <w:bookmarkStart w:id="673" w:name="_Toc305158825"/>
      <w:r/>
      <w:bookmarkStart w:id="674" w:name="_Toc226337253"/>
      <w:r/>
      <w:bookmarkStart w:id="675" w:name="_Toc265228395"/>
      <w:r/>
      <w:bookmarkStart w:id="676" w:name="_Toc150774762"/>
      <w:r/>
      <w:bookmarkStart w:id="677" w:name="_Toc226965830"/>
      <w:r/>
      <w:bookmarkStart w:id="678" w:name="_Toc226309801"/>
      <w:r/>
      <w:bookmarkStart w:id="679" w:name="_Toc195842922"/>
      <w:r/>
      <w:bookmarkStart w:id="680" w:name="_Ref467988705"/>
      <w:r/>
      <w:bookmarkStart w:id="681" w:name="_Toc226965747"/>
      <w:r/>
      <w:bookmarkStart w:id="682" w:name="_Toc264969247"/>
      <w:r/>
      <w:bookmarkStart w:id="683" w:name="_Toc305158899"/>
      <w:r/>
      <w:bookmarkStart w:id="684" w:name="_Toc150480795"/>
      <w:r/>
      <w:bookmarkStart w:id="685" w:name="_Toc480942350"/>
      <w:r/>
      <w:bookmarkStart w:id="686" w:name="_Toc520356218"/>
      <w:r/>
      <w:bookmarkStart w:id="687" w:name="_Toc142311059"/>
      <w:r>
        <w:rPr>
          <w:rFonts w:hint="eastAsia"/>
          <w:color w:val="000000"/>
          <w:sz w:val="24"/>
        </w:rPr>
        <w:t xml:space="preserve">4</w:t>
      </w:r>
      <w:r>
        <w:rPr>
          <w:color w:val="000000"/>
          <w:sz w:val="24"/>
          <w:szCs w:val="20"/>
        </w:rPr>
        <w:t xml:space="preserve">  </w:t>
      </w:r>
      <w:r>
        <w:rPr>
          <w:color w:val="000000"/>
          <w:sz w:val="24"/>
        </w:rPr>
        <w:t xml:space="preserve">响应</w:t>
      </w:r>
      <w:r>
        <w:rPr>
          <w:rFonts w:hint="eastAsia"/>
          <w:color w:val="000000"/>
          <w:sz w:val="24"/>
        </w:rPr>
        <w:t xml:space="preserve">函</w:t>
      </w:r>
      <w:r>
        <w:rPr>
          <w:color w:val="000000"/>
          <w:sz w:val="24"/>
          <w:szCs w:val="20"/>
        </w:rPr>
        <w:t xml:space="preserve">（实质性格式）</w:t>
      </w:r>
      <w:r/>
    </w:p>
    <w:p>
      <w:pPr>
        <w:spacing w:line="360" w:lineRule="auto"/>
        <w:tabs>
          <w:tab w:val="left" w:pos="5580" w:leader="none"/>
        </w:tabs>
        <w:rPr>
          <w:color w:val="000000"/>
          <w:sz w:val="24"/>
        </w:rPr>
      </w:pPr>
      <w:r>
        <w:rPr>
          <w:color w:val="000000"/>
          <w:sz w:val="24"/>
        </w:rPr>
      </w:r>
      <w:r/>
    </w:p>
    <w:p>
      <w:pPr>
        <w:jc w:val="center"/>
        <w:spacing w:line="360" w:lineRule="auto"/>
        <w:rPr>
          <w:b/>
          <w:color w:val="000000"/>
          <w:sz w:val="36"/>
          <w:szCs w:val="36"/>
        </w:rPr>
      </w:pPr>
      <w:r>
        <w:rPr>
          <w:rFonts w:hint="eastAsia"/>
          <w:b/>
          <w:color w:val="000000"/>
          <w:sz w:val="36"/>
          <w:szCs w:val="36"/>
        </w:rPr>
        <w:t xml:space="preserve">响应函</w:t>
      </w:r>
      <w:r/>
    </w:p>
    <w:p>
      <w:pPr>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p>
    <w:p>
      <w:pPr>
        <w:spacing w:line="360" w:lineRule="auto"/>
        <w:tabs>
          <w:tab w:val="left" w:pos="5580" w:leader="none"/>
        </w:tabs>
        <w:rPr>
          <w:color w:val="000000"/>
          <w:sz w:val="24"/>
          <w:szCs w:val="20"/>
        </w:rPr>
      </w:pPr>
      <w:r>
        <w:rPr>
          <w:color w:val="000000"/>
          <w:sz w:val="24"/>
          <w:szCs w:val="20"/>
        </w:rPr>
      </w:r>
      <w:r/>
    </w:p>
    <w:p>
      <w:pPr>
        <w:ind w:firstLine="408"/>
        <w:spacing w:line="360" w:lineRule="auto"/>
        <w:tabs>
          <w:tab w:val="left" w:pos="5580" w:leader="none"/>
        </w:tabs>
        <w:rPr>
          <w:color w:val="000000"/>
          <w:sz w:val="24"/>
          <w:szCs w:val="20"/>
        </w:rPr>
      </w:pPr>
      <w:r>
        <w:rPr>
          <w:color w:val="000000"/>
          <w:sz w:val="24"/>
          <w:szCs w:val="20"/>
        </w:rPr>
        <w:t xml:space="preserve">我方参加你方就___________（项目名称，项目编号/包号）组织的</w:t>
      </w:r>
      <w:r>
        <w:rPr>
          <w:rFonts w:hint="eastAsia"/>
          <w:color w:val="000000"/>
          <w:sz w:val="24"/>
          <w:szCs w:val="20"/>
        </w:rPr>
        <w:t xml:space="preserve">政府采购</w:t>
      </w:r>
      <w:r>
        <w:rPr>
          <w:color w:val="000000"/>
          <w:sz w:val="24"/>
          <w:szCs w:val="20"/>
        </w:rPr>
        <w:t xml:space="preserve">活动，并对此项目进行响应。</w:t>
      </w:r>
      <w:r/>
    </w:p>
    <w:p>
      <w:pPr>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已详细审查全部磋商文件</w:t>
      </w:r>
      <w:r>
        <w:rPr>
          <w:color w:val="000000"/>
          <w:sz w:val="24"/>
          <w:szCs w:val="20"/>
        </w:rPr>
        <w:t xml:space="preserve">，自愿参与响应并承诺如下：</w:t>
      </w:r>
      <w:r/>
    </w:p>
    <w:p>
      <w:pPr>
        <w:ind w:left="360" w:firstLine="72"/>
        <w:spacing w:line="360" w:lineRule="auto"/>
        <w:tabs>
          <w:tab w:val="left" w:pos="720" w:leader="none"/>
          <w:tab w:val="left" w:pos="900" w:leader="none"/>
        </w:tabs>
        <w:rPr>
          <w:color w:val="000000"/>
          <w:sz w:val="24"/>
          <w:szCs w:val="20"/>
        </w:rPr>
      </w:pPr>
      <w:r>
        <w:rPr>
          <w:color w:val="000000"/>
          <w:sz w:val="24"/>
          <w:szCs w:val="20"/>
        </w:rPr>
        <w:t xml:space="preserve">（1）本响应有效期为自提交响应文件的截止之日起</w:t>
      </w:r>
      <w:r>
        <w:rPr>
          <w:rFonts w:hint="eastAsia"/>
          <w:sz w:val="24"/>
        </w:rPr>
        <w:t xml:space="preserve">60</w:t>
      </w:r>
      <w:r>
        <w:rPr>
          <w:color w:val="000000"/>
          <w:sz w:val="24"/>
          <w:szCs w:val="20"/>
        </w:rPr>
        <w:t xml:space="preserve">个日历日。</w:t>
      </w:r>
      <w:r/>
    </w:p>
    <w:p>
      <w:pPr>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（2）除合同条款及采购需求偏离表列出的偏离外，我方响应磋商文件的全部要求。</w:t>
      </w:r>
      <w:r/>
    </w:p>
    <w:p>
      <w:pPr>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p>
    <w:p>
      <w:pPr>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（4）如我方中标，我方将在法律规定的期限内与你方签订合同，按照磋商文件要求提交履约保证金，并在合同约定的期限内完成合同规定的全部义务。</w:t>
      </w:r>
      <w:r/>
    </w:p>
    <w:p>
      <w:pPr>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p>
    <w:p>
      <w:pPr>
        <w:ind w:firstLine="480"/>
        <w:spacing w:line="360" w:lineRule="auto"/>
        <w:rPr>
          <w:color w:val="000000"/>
          <w:sz w:val="24"/>
        </w:rPr>
      </w:pPr>
      <w:r>
        <w:rPr>
          <w:color w:val="000000"/>
          <w:sz w:val="24"/>
        </w:rPr>
        <w:t xml:space="preserve">与本响应有关的一切正式往来信函请寄：</w:t>
      </w:r>
      <w:r/>
    </w:p>
    <w:p>
      <w:pPr>
        <w:ind w:left="420"/>
        <w:spacing w:line="360" w:lineRule="auto"/>
        <w:tabs>
          <w:tab w:val="left" w:pos="5580" w:leader="none"/>
        </w:tabs>
        <w:rPr>
          <w:color w:val="000000"/>
          <w:sz w:val="24"/>
          <w:szCs w:val="20"/>
        </w:rPr>
      </w:pPr>
      <w:r>
        <w:rPr>
          <w:color w:val="000000"/>
          <w:sz w:val="24"/>
          <w:szCs w:val="20"/>
        </w:rPr>
      </w:r>
      <w:r/>
    </w:p>
    <w:p>
      <w:pPr>
        <w:ind w:left="420"/>
        <w:spacing w:line="360" w:lineRule="auto"/>
        <w:tabs>
          <w:tab w:val="left" w:pos="5580" w:leader="none"/>
        </w:tabs>
        <w:rPr>
          <w:color w:val="000000"/>
          <w:sz w:val="24"/>
          <w:szCs w:val="20"/>
        </w:rPr>
      </w:pPr>
      <w:r>
        <w:rPr>
          <w:color w:val="000000"/>
          <w:sz w:val="24"/>
          <w:szCs w:val="20"/>
        </w:rPr>
        <w:t xml:space="preserve">地址_________________________    传真____________________________</w:t>
      </w:r>
      <w:r/>
    </w:p>
    <w:p>
      <w:pPr>
        <w:ind w:left="420"/>
        <w:spacing w:line="360" w:lineRule="auto"/>
        <w:tabs>
          <w:tab w:val="left" w:pos="5580" w:leader="none"/>
        </w:tabs>
        <w:rPr>
          <w:color w:val="000000"/>
          <w:sz w:val="24"/>
          <w:szCs w:val="20"/>
        </w:rPr>
      </w:pPr>
      <w:r>
        <w:rPr>
          <w:color w:val="000000"/>
          <w:sz w:val="24"/>
          <w:szCs w:val="20"/>
        </w:rPr>
        <w:t xml:space="preserve">电话_________________________    电子函件________________________</w:t>
      </w:r>
      <w:r/>
    </w:p>
    <w:p>
      <w:pPr>
        <w:ind w:left="420"/>
        <w:spacing w:line="360" w:lineRule="auto"/>
        <w:tabs>
          <w:tab w:val="left" w:pos="5580" w:leader="none"/>
        </w:tabs>
        <w:rPr>
          <w:color w:val="000000"/>
          <w:sz w:val="24"/>
          <w:szCs w:val="20"/>
        </w:rPr>
      </w:pPr>
      <w:r>
        <w:rPr>
          <w:color w:val="000000"/>
          <w:sz w:val="24"/>
          <w:szCs w:val="20"/>
        </w:rPr>
      </w:r>
      <w:r/>
    </w:p>
    <w:p>
      <w:pPr>
        <w:ind w:left="420"/>
        <w:spacing w:line="360" w:lineRule="auto"/>
        <w:tabs>
          <w:tab w:val="left" w:pos="5580" w:leader="none"/>
        </w:tabs>
        <w:rPr>
          <w:color w:val="000000"/>
          <w:sz w:val="24"/>
          <w:szCs w:val="20"/>
        </w:rPr>
      </w:pPr>
      <w:r>
        <w:rPr>
          <w:color w:val="000000"/>
          <w:sz w:val="24"/>
          <w:szCs w:val="20"/>
        </w:rPr>
        <w:t xml:space="preserve">供应商名称（加盖公章） ：___________</w:t>
      </w:r>
      <w:r/>
    </w:p>
    <w:p>
      <w:pPr>
        <w:ind w:left="420"/>
        <w:spacing w:line="360" w:lineRule="auto"/>
        <w:tabs>
          <w:tab w:val="left" w:pos="5580" w:leader="none"/>
        </w:tabs>
        <w:rPr>
          <w:color w:val="000000"/>
          <w:sz w:val="24"/>
          <w:szCs w:val="20"/>
        </w:rPr>
      </w:pPr>
      <w:r>
        <w:rPr>
          <w:color w:val="000000"/>
          <w:sz w:val="24"/>
          <w:szCs w:val="20"/>
        </w:rPr>
        <w:t xml:space="preserve">日期：_____年______月______日    </w:t>
      </w:r>
      <w:r/>
    </w:p>
    <w:p>
      <w:pPr>
        <w:ind w:left="420"/>
        <w:spacing w:line="360" w:lineRule="auto"/>
        <w:tabs>
          <w:tab w:val="left" w:pos="5580" w:leader="none"/>
        </w:tabs>
        <w:rPr>
          <w:color w:val="000000"/>
          <w:sz w:val="24"/>
          <w:szCs w:val="20"/>
          <w:u w:val="single"/>
        </w:rPr>
      </w:pPr>
      <w:r>
        <w:rPr>
          <w:color w:val="000000"/>
          <w:sz w:val="24"/>
          <w:szCs w:val="20"/>
          <w:u w:val="single"/>
        </w:rPr>
      </w:r>
      <w:r/>
    </w:p>
    <w:p>
      <w:pPr>
        <w:jc w:val="left"/>
        <w:widowControl/>
        <w:rPr>
          <w:rFonts w:hint="eastAsia"/>
          <w:color w:val="000000"/>
          <w:sz w:val="24"/>
        </w:rPr>
      </w:pPr>
      <w:r/>
      <w:bookmarkStart w:id="688" w:name="_Hlt520356243"/>
      <w:r/>
      <w:bookmarkEnd w:id="688"/>
      <w:r/>
      <w:bookmarkStart w:id="689" w:name="_Hlt520355938"/>
      <w:r/>
      <w:bookmarkEnd w:id="689"/>
      <w:r>
        <w:rPr>
          <w:color w:val="000000"/>
          <w:sz w:val="24"/>
        </w:rPr>
        <w:br w:type="page" w:clear="all"/>
      </w:r>
      <w:r/>
    </w:p>
    <w:p>
      <w:pPr>
        <w:jc w:val="left"/>
        <w:widowControl/>
        <w:rPr>
          <w:rFonts w:hint="eastAsia"/>
          <w:color w:val="000000"/>
          <w:sz w:val="24"/>
        </w:rPr>
      </w:pPr>
      <w:r>
        <w:rPr>
          <w:rFonts w:hint="eastAsia"/>
          <w:color w:val="000000"/>
          <w:sz w:val="24"/>
        </w:rPr>
        <w:t xml:space="preserve">5</w:t>
      </w:r>
      <w:r>
        <w:rPr>
          <w:color w:val="000000"/>
          <w:sz w:val="24"/>
        </w:rPr>
        <w:t xml:space="preserve">  </w:t>
      </w:r>
      <w:r>
        <w:rPr>
          <w:rFonts w:hint="eastAsia"/>
          <w:color w:val="000000"/>
          <w:sz w:val="24"/>
        </w:rPr>
        <w:t xml:space="preserve">法定代表人资格证明书</w:t>
      </w:r>
      <w:r>
        <w:rPr>
          <w:color w:val="000000"/>
          <w:sz w:val="24"/>
          <w:szCs w:val="20"/>
        </w:rPr>
        <w:t xml:space="preserve">（实质性格式）</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ascii="宋体" w:hAnsi="宋体"/>
          <w:b/>
          <w:sz w:val="32"/>
          <w:szCs w:val="32"/>
        </w:rPr>
      </w:pPr>
      <w:r>
        <w:rPr>
          <w:rFonts w:hint="eastAsia" w:ascii="宋体" w:hAnsi="宋体"/>
          <w:b/>
          <w:sz w:val="32"/>
          <w:szCs w:val="32"/>
        </w:rPr>
        <w:t xml:space="preserve">法定代表人资格证明书</w:t>
      </w:r>
      <w:r/>
    </w:p>
    <w:p>
      <w:pPr>
        <w:spacing w:line="560" w:lineRule="exact"/>
        <w:rPr>
          <w:rFonts w:ascii="宋体" w:hAnsi="宋体"/>
          <w:sz w:val="24"/>
        </w:rPr>
      </w:pPr>
      <w:r>
        <w:rPr>
          <w:rFonts w:hint="eastAsia" w:ascii="宋体" w:hAnsi="宋体"/>
          <w:sz w:val="24"/>
        </w:rPr>
        <w:t xml:space="preserve">单位名称:</w:t>
      </w:r>
      <w:r/>
    </w:p>
    <w:p>
      <w:pPr>
        <w:spacing w:line="560" w:lineRule="exact"/>
        <w:rPr>
          <w:rFonts w:ascii="宋体" w:hAnsi="宋体"/>
          <w:sz w:val="24"/>
        </w:rPr>
      </w:pPr>
      <w:r>
        <w:rPr>
          <w:rFonts w:hint="eastAsia" w:ascii="宋体" w:hAnsi="宋体"/>
          <w:sz w:val="24"/>
        </w:rPr>
        <w:t xml:space="preserve">地址:</w:t>
      </w:r>
      <w:r/>
    </w:p>
    <w:p>
      <w:pPr>
        <w:spacing w:line="560" w:lineRule="exact"/>
        <w:rPr>
          <w:rFonts w:ascii="宋体" w:hAnsi="宋体"/>
          <w:sz w:val="24"/>
        </w:rPr>
      </w:pPr>
      <w:r>
        <w:rPr>
          <w:rFonts w:hint="eastAsia" w:ascii="宋体" w:hAnsi="宋体"/>
          <w:sz w:val="24"/>
        </w:rPr>
        <w:t xml:space="preserve">姓名:     性别:       年龄:      职务:</w:t>
      </w:r>
      <w:r/>
    </w:p>
    <w:p>
      <w:pPr>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（供应商名称）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color w:val="000000"/>
          <w:sz w:val="24"/>
          <w:szCs w:val="20"/>
        </w:rPr>
        <w:t xml:space="preserve">签署、澄清确认、递交、撤回、修改</w:t>
      </w:r>
      <w:r>
        <w:rPr>
          <w:rFonts w:hint="eastAsia" w:ascii="宋体" w:hAnsi="宋体"/>
          <w:sz w:val="24"/>
        </w:rPr>
        <w:t xml:space="preserve">上述项目的响应文件、进行合同磋商、签署合同和处理与之有关的一切事务。</w:t>
      </w:r>
      <w:r/>
    </w:p>
    <w:p>
      <w:pPr>
        <w:spacing w:line="560" w:lineRule="exact"/>
        <w:rPr>
          <w:rFonts w:ascii="宋体" w:hAnsi="宋体"/>
          <w:sz w:val="24"/>
        </w:rPr>
      </w:pPr>
      <w:r>
        <w:rPr>
          <w:rFonts w:hint="eastAsia" w:ascii="宋体" w:hAnsi="宋体"/>
          <w:sz w:val="24"/>
        </w:rPr>
        <w:t xml:space="preserve">特此证明。</w:t>
      </w:r>
      <w:r/>
    </w:p>
    <w:p>
      <w:pPr>
        <w:spacing w:line="560" w:lineRule="exact"/>
        <w:rPr>
          <w:rFonts w:ascii="宋体" w:hAnsi="宋体"/>
          <w:sz w:val="24"/>
        </w:rPr>
      </w:pPr>
      <w:r>
        <w:rPr>
          <w:rFonts w:ascii="宋体" w:hAnsi="宋体"/>
          <w:sz w:val="24"/>
        </w:rPr>
      </w:r>
      <w:r/>
    </w:p>
    <w:p>
      <w:pPr>
        <w:pStyle w:val="1062"/>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p>
    <w:tbl>
      <w:tblPr>
        <w:tblStyle w:val="855"/>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spacing w:line="560" w:lineRule="exact"/>
        <w:rPr>
          <w:rFonts w:ascii="宋体" w:hAnsi="宋体"/>
          <w:sz w:val="24"/>
        </w:rPr>
      </w:pPr>
      <w:r>
        <w:rPr>
          <w:rFonts w:hint="eastAsia" w:ascii="宋体" w:hAnsi="宋体"/>
          <w:sz w:val="24"/>
        </w:rPr>
        <w:t xml:space="preserve">                     供应商：（加盖公章）</w:t>
      </w:r>
      <w:r/>
    </w:p>
    <w:p>
      <w:pPr>
        <w:spacing w:line="560" w:lineRule="exact"/>
        <w:rPr>
          <w:rFonts w:ascii="宋体" w:hAnsi="宋体"/>
          <w:sz w:val="24"/>
        </w:rPr>
      </w:pPr>
      <w:r>
        <w:rPr>
          <w:rFonts w:hint="eastAsia" w:ascii="宋体" w:hAnsi="宋体"/>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p>
    <w:p>
      <w:pPr>
        <w:ind w:firstLine="4320"/>
        <w:spacing w:line="560" w:lineRule="exact"/>
        <w:rPr>
          <w:rFonts w:ascii="宋体" w:hAnsi="宋体"/>
          <w:sz w:val="24"/>
        </w:rPr>
      </w:pPr>
      <w:r>
        <w:rPr>
          <w:rFonts w:hint="eastAsia" w:ascii="宋体" w:hAnsi="宋体"/>
          <w:sz w:val="24"/>
        </w:rPr>
        <w:t xml:space="preserve">日期：    年    月    日</w:t>
      </w:r>
      <w:r/>
    </w:p>
    <w:p>
      <w:pPr>
        <w:jc w:val="left"/>
        <w:widowControl/>
        <w:rPr>
          <w:rFonts w:hint="eastAsia"/>
          <w:color w:val="000000"/>
          <w:sz w:val="24"/>
        </w:rPr>
      </w:pPr>
      <w:r>
        <w:rPr>
          <w:rFonts w:hint="eastAsia"/>
          <w:color w:val="000000"/>
          <w:sz w:val="24"/>
        </w:rPr>
      </w:r>
      <w:r/>
    </w:p>
    <w:p>
      <w:pPr>
        <w:jc w:val="left"/>
        <w:widowControl/>
        <w:rPr>
          <w:rFonts w:hint="eastAsia"/>
          <w:color w:val="000000"/>
          <w:sz w:val="24"/>
        </w:rPr>
      </w:pPr>
      <w:r>
        <w:rPr>
          <w:rFonts w:hint="eastAsia"/>
          <w:color w:val="000000"/>
          <w:sz w:val="24"/>
        </w:rPr>
      </w:r>
      <w:r/>
    </w:p>
    <w:p>
      <w:pPr>
        <w:jc w:val="left"/>
        <w:widowControl/>
        <w:rPr>
          <w:rFonts w:hint="eastAsia"/>
          <w:color w:val="000000"/>
          <w:sz w:val="24"/>
        </w:rPr>
      </w:pPr>
      <w:r>
        <w:rPr>
          <w:rFonts w:hint="eastAsia"/>
          <w:color w:val="000000"/>
          <w:sz w:val="24"/>
        </w:rPr>
      </w:r>
      <w:r/>
    </w:p>
    <w:p>
      <w:pPr>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磋商文件</w:t>
      </w:r>
      <w:r>
        <w:rPr>
          <w:rFonts w:ascii="宋体" w:hAnsi="宋体"/>
          <w:color w:val="000000"/>
          <w:sz w:val="24"/>
          <w:szCs w:val="20"/>
        </w:rPr>
        <w:t xml:space="preserve">注明允许分支机构</w:t>
      </w:r>
      <w:r>
        <w:rPr>
          <w:rFonts w:hint="eastAsia" w:ascii="宋体" w:hAnsi="宋体"/>
          <w:color w:val="000000"/>
          <w:sz w:val="24"/>
          <w:szCs w:val="20"/>
        </w:rPr>
        <w:t xml:space="preserve">响应</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p>
    <w:p>
      <w:pPr>
        <w:jc w:val="left"/>
        <w:spacing w:line="360" w:lineRule="auto"/>
        <w:tabs>
          <w:tab w:val="left" w:pos="5580" w:leader="none"/>
        </w:tabs>
        <w:rPr>
          <w:rFonts w:ascii="宋体" w:hAnsi="宋体"/>
          <w:i/>
          <w:color w:val="000000"/>
          <w:sz w:val="24"/>
          <w:szCs w:val="20"/>
          <w:u w:val="single"/>
        </w:rPr>
      </w:pPr>
      <w:r>
        <w:rPr>
          <w:rFonts w:ascii="宋体" w:hAnsi="宋体"/>
          <w:color w:val="000000"/>
          <w:sz w:val="24"/>
          <w:szCs w:val="20"/>
        </w:rPr>
        <w:t xml:space="preserve">3.</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p>
    <w:p>
      <w:pPr>
        <w:jc w:val="left"/>
        <w:widowControl/>
        <w:rPr>
          <w:rFonts w:hint="eastAsia"/>
          <w:color w:val="000000"/>
          <w:sz w:val="24"/>
        </w:rPr>
      </w:pPr>
      <w:r>
        <w:rPr>
          <w:rFonts w:hint="eastAsia"/>
          <w:color w:val="000000"/>
          <w:sz w:val="24"/>
        </w:rPr>
      </w:r>
      <w:r/>
    </w:p>
    <w:p>
      <w:pPr>
        <w:jc w:val="left"/>
        <w:widowControl/>
        <w:rPr>
          <w:rFonts w:hint="eastAsia"/>
          <w:color w:val="000000"/>
          <w:sz w:val="24"/>
        </w:rPr>
      </w:pPr>
      <w:r>
        <w:rPr>
          <w:rFonts w:hint="eastAsia"/>
          <w:color w:val="000000"/>
          <w:sz w:val="24"/>
        </w:rPr>
      </w:r>
      <w:r/>
    </w:p>
    <w:p>
      <w:pPr>
        <w:jc w:val="left"/>
        <w:widowControl/>
        <w:rPr>
          <w:rFonts w:hint="eastAsia"/>
          <w:color w:val="000000"/>
          <w:sz w:val="24"/>
        </w:rPr>
      </w:pPr>
      <w:r>
        <w:rPr>
          <w:rFonts w:hint="eastAsia"/>
          <w:color w:val="000000"/>
          <w:sz w:val="24"/>
        </w:rPr>
      </w:r>
      <w:r/>
    </w:p>
    <w:p>
      <w:pPr>
        <w:jc w:val="left"/>
        <w:widowControl/>
        <w:rPr>
          <w:rFonts w:hint="eastAsia"/>
          <w:color w:val="000000"/>
          <w:sz w:val="24"/>
        </w:rPr>
      </w:pPr>
      <w:r>
        <w:rPr>
          <w:rFonts w:hint="eastAsia"/>
          <w:color w:val="000000"/>
          <w:sz w:val="24"/>
        </w:rPr>
      </w:r>
      <w:r/>
    </w:p>
    <w:p>
      <w:pPr>
        <w:jc w:val="left"/>
        <w:widowControl/>
        <w:rPr>
          <w:rFonts w:hint="eastAsia"/>
          <w:color w:val="000000"/>
          <w:sz w:val="24"/>
        </w:rPr>
      </w:pPr>
      <w:r>
        <w:rPr>
          <w:rFonts w:hint="eastAsia"/>
          <w:color w:val="000000"/>
          <w:sz w:val="24"/>
        </w:rPr>
        <w:t xml:space="preserve">6  政府采购供应商信用承诺书</w:t>
      </w:r>
      <w:r>
        <w:rPr>
          <w:color w:val="000000"/>
          <w:sz w:val="24"/>
          <w:szCs w:val="20"/>
        </w:rPr>
        <w:t xml:space="preserve">（实质性格式）</w:t>
      </w:r>
      <w:r/>
    </w:p>
    <w:p>
      <w:pPr>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p>
    <w:p>
      <w:pPr>
        <w:ind w:firstLine="640"/>
      </w:pPr>
      <w:r/>
      <w:r/>
    </w:p>
    <w:p>
      <w:pPr>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p>
    <w:p>
      <w:pPr>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p>
    <w:p>
      <w:pPr>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p>
    <w:p>
      <w:pPr>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p>
    <w:p>
      <w:pPr>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p>
    <w:p>
      <w:pPr>
        <w:pStyle w:val="1278"/>
        <w:ind w:right="1050" w:firstLine="2880"/>
        <w:jc w:val="both"/>
        <w:spacing w:line="276" w:lineRule="auto"/>
        <w:rPr>
          <w:rFonts w:ascii="宋体" w:hAnsi="宋体" w:eastAsia="宋体"/>
          <w:sz w:val="24"/>
          <w:szCs w:val="22"/>
        </w:rPr>
      </w:pPr>
      <w:r>
        <w:rPr>
          <w:rFonts w:ascii="宋体" w:hAnsi="宋体" w:eastAsia="宋体"/>
          <w:sz w:val="24"/>
          <w:szCs w:val="22"/>
        </w:rPr>
      </w:r>
      <w:r/>
    </w:p>
    <w:p>
      <w:pPr>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p>
    <w:p>
      <w:pPr>
        <w:spacing w:before="25" w:after="25" w:line="360" w:lineRule="auto"/>
        <w:rPr>
          <w:color w:val="000000"/>
          <w:sz w:val="24"/>
          <w:lang w:val="zh-CN"/>
        </w:rPr>
      </w:pPr>
      <w:r>
        <w:rPr>
          <w:color w:val="000000"/>
          <w:sz w:val="24"/>
          <w:szCs w:val="20"/>
        </w:rPr>
        <w:t xml:space="preserve">日期：_____年______月______日   </w:t>
      </w:r>
      <w:r/>
    </w:p>
    <w:p>
      <w:pPr>
        <w:spacing w:line="360" w:lineRule="auto"/>
        <w:rPr>
          <w:color w:val="000000"/>
          <w:sz w:val="24"/>
          <w:szCs w:val="20"/>
        </w:rPr>
        <w:outlineLvl w:val="2"/>
      </w:pPr>
      <w:r>
        <w:rPr>
          <w:color w:val="000000"/>
          <w:sz w:val="24"/>
          <w:szCs w:val="20"/>
        </w:rPr>
      </w:r>
      <w:r/>
    </w:p>
    <w:p>
      <w:pPr>
        <w:pStyle w:val="883"/>
        <w:rPr>
          <w:color w:val="000000"/>
          <w:sz w:val="24"/>
          <w:szCs w:val="20"/>
        </w:rPr>
      </w:pPr>
      <w:r>
        <w:rPr>
          <w:color w:val="000000"/>
          <w:sz w:val="24"/>
          <w:szCs w:val="20"/>
        </w:rPr>
      </w:r>
      <w:r/>
    </w:p>
    <w:p>
      <w:pPr>
        <w:rPr>
          <w:color w:val="000000"/>
          <w:sz w:val="24"/>
          <w:szCs w:val="20"/>
        </w:rPr>
      </w:pPr>
      <w:r>
        <w:rPr>
          <w:color w:val="000000"/>
          <w:sz w:val="24"/>
          <w:szCs w:val="20"/>
        </w:rPr>
      </w:r>
      <w:r/>
    </w:p>
    <w:p>
      <w:pPr>
        <w:pStyle w:val="883"/>
        <w:rPr>
          <w:color w:val="000000"/>
          <w:sz w:val="24"/>
          <w:szCs w:val="20"/>
        </w:rPr>
      </w:pPr>
      <w:r>
        <w:rPr>
          <w:color w:val="000000"/>
          <w:sz w:val="24"/>
          <w:szCs w:val="20"/>
        </w:rPr>
      </w:r>
      <w:r/>
    </w:p>
    <w:p>
      <w:r/>
      <w:r/>
    </w:p>
    <w:p>
      <w:r/>
      <w:r/>
    </w:p>
    <w:p>
      <w:pPr>
        <w:spacing w:line="360" w:lineRule="auto"/>
        <w:rPr>
          <w:color w:val="000000"/>
          <w:sz w:val="24"/>
          <w:szCs w:val="20"/>
        </w:rPr>
        <w:outlineLvl w:val="2"/>
      </w:pPr>
      <w:r>
        <w:rPr>
          <w:color w:val="000000"/>
          <w:sz w:val="24"/>
          <w:szCs w:val="20"/>
        </w:rPr>
        <w:t xml:space="preserve">7  报价一览表</w:t>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r/>
    </w:p>
    <w:p>
      <w:pPr>
        <w:jc w:val="center"/>
        <w:rPr>
          <w:b/>
          <w:color w:val="000000"/>
          <w:sz w:val="36"/>
          <w:szCs w:val="36"/>
        </w:rPr>
      </w:pPr>
      <w:r/>
      <w:bookmarkStart w:id="690" w:name="_Toc305158900"/>
      <w:r/>
      <w:bookmarkStart w:id="691" w:name="_Toc164608827"/>
      <w:r/>
      <w:bookmarkStart w:id="692" w:name="_Toc226337254"/>
      <w:r/>
      <w:bookmarkStart w:id="693" w:name="_Toc265228396"/>
      <w:r/>
      <w:bookmarkStart w:id="694" w:name="_Toc264969248"/>
      <w:r/>
      <w:bookmarkStart w:id="695" w:name="_Toc226309802"/>
      <w:r/>
      <w:bookmarkStart w:id="696" w:name="_Toc226965831"/>
      <w:r/>
      <w:bookmarkStart w:id="697" w:name="_Toc305158826"/>
      <w:r/>
      <w:bookmarkStart w:id="698" w:name="_Toc226965748"/>
      <w:r/>
      <w:bookmarkStart w:id="699" w:name="_Toc164608672"/>
      <w:r/>
      <w:bookmarkStart w:id="700" w:name="_Toc195842923"/>
      <w:r>
        <w:rPr>
          <w:rFonts w:hint="eastAsia"/>
          <w:b/>
          <w:color w:val="000000"/>
          <w:sz w:val="36"/>
          <w:szCs w:val="36"/>
        </w:rPr>
        <w:t xml:space="preserve">报价一览表</w:t>
      </w:r>
      <w:bookmarkEnd w:id="690"/>
      <w:r/>
      <w:bookmarkEnd w:id="691"/>
      <w:r/>
      <w:bookmarkEnd w:id="692"/>
      <w:r/>
      <w:bookmarkEnd w:id="693"/>
      <w:r/>
      <w:bookmarkEnd w:id="694"/>
      <w:r/>
      <w:bookmarkEnd w:id="695"/>
      <w:r/>
      <w:bookmarkEnd w:id="696"/>
      <w:r/>
      <w:bookmarkEnd w:id="697"/>
      <w:r/>
      <w:bookmarkEnd w:id="698"/>
      <w:r/>
      <w:bookmarkEnd w:id="699"/>
      <w:r/>
      <w:bookmarkEnd w:id="700"/>
      <w:r/>
      <w:r/>
    </w:p>
    <w:p>
      <w:pPr>
        <w:jc w:val="left"/>
        <w:spacing w:line="360" w:lineRule="auto"/>
        <w:tabs>
          <w:tab w:val="left" w:pos="1800" w:leader="none"/>
          <w:tab w:val="left" w:pos="5580" w:leader="none"/>
        </w:tabs>
        <w:rPr>
          <w:color w:val="000000"/>
          <w:sz w:val="24"/>
        </w:rPr>
      </w:pPr>
      <w:r>
        <w:rPr>
          <w:color w:val="000000"/>
          <w:sz w:val="24"/>
        </w:rPr>
      </w:r>
      <w:r/>
    </w:p>
    <w:p>
      <w:pPr>
        <w:ind w:firstLine="24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     项目名称：____________________</w:t>
      </w:r>
      <w:r/>
    </w:p>
    <w:tbl>
      <w:tblPr>
        <w:tblStyle w:val="855"/>
        <w:tblW w:w="45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92"/>
        <w:gridCol w:w="2345"/>
        <w:gridCol w:w="2456"/>
        <w:gridCol w:w="2099"/>
      </w:tblGrid>
      <w:tr>
        <w:trPr>
          <w:jc w:val="center"/>
          <w:trHeight w:val="531"/>
        </w:trPr>
        <w:tc>
          <w:tcPr>
            <w:tcW w:w="592" w:type="dxa"/>
            <w:vAlign w:val="center"/>
            <w:vMerge w:val="restart"/>
            <w:textDirection w:val="lrTb"/>
            <w:noWrap w:val="false"/>
          </w:tcPr>
          <w:p>
            <w:pPr>
              <w:jc w:val="center"/>
              <w:tabs>
                <w:tab w:val="left" w:pos="5580" w:leader="none"/>
              </w:tabs>
              <w:rPr>
                <w:b/>
                <w:sz w:val="24"/>
              </w:rPr>
            </w:pPr>
            <w:r>
              <w:rPr>
                <w:rFonts w:hint="eastAsia"/>
                <w:b/>
                <w:sz w:val="24"/>
              </w:rPr>
              <w:t xml:space="preserve">序号</w:t>
            </w:r>
            <w:r/>
          </w:p>
        </w:tc>
        <w:tc>
          <w:tcPr>
            <w:tcW w:w="2342" w:type="dxa"/>
            <w:vAlign w:val="center"/>
            <w:vMerge w:val="restart"/>
            <w:textDirection w:val="lrTb"/>
            <w:noWrap w:val="false"/>
          </w:tcPr>
          <w:p>
            <w:pPr>
              <w:jc w:val="center"/>
              <w:tabs>
                <w:tab w:val="left" w:pos="5580" w:leader="none"/>
              </w:tabs>
              <w:rPr>
                <w:b/>
                <w:sz w:val="24"/>
              </w:rPr>
            </w:pPr>
            <w:r>
              <w:rPr>
                <w:rFonts w:hint="eastAsia"/>
                <w:b/>
                <w:sz w:val="24"/>
              </w:rPr>
              <w:t xml:space="preserve">供应商名称</w:t>
            </w:r>
            <w:r/>
          </w:p>
        </w:tc>
        <w:tc>
          <w:tcPr>
            <w:gridSpan w:val="2"/>
            <w:tcW w:w="4550" w:type="dxa"/>
            <w:vAlign w:val="center"/>
            <w:textDirection w:val="lrTb"/>
            <w:noWrap w:val="false"/>
          </w:tcPr>
          <w:p>
            <w:pPr>
              <w:jc w:val="center"/>
              <w:tabs>
                <w:tab w:val="left" w:pos="5580" w:leader="none"/>
              </w:tabs>
              <w:rPr>
                <w:b/>
                <w:sz w:val="24"/>
              </w:rPr>
            </w:pPr>
            <w:r>
              <w:rPr>
                <w:rFonts w:hint="eastAsia"/>
                <w:b/>
                <w:sz w:val="24"/>
              </w:rPr>
              <w:t xml:space="preserve">报价</w:t>
            </w:r>
            <w:r/>
          </w:p>
        </w:tc>
      </w:tr>
      <w:tr>
        <w:trPr>
          <w:jc w:val="center"/>
          <w:trHeight w:val="674"/>
        </w:trPr>
        <w:tc>
          <w:tcPr>
            <w:tcW w:w="592" w:type="dxa"/>
            <w:vAlign w:val="center"/>
            <w:vMerge w:val="continue"/>
            <w:textDirection w:val="lrTb"/>
            <w:noWrap w:val="false"/>
          </w:tcPr>
          <w:p>
            <w:pPr>
              <w:jc w:val="left"/>
              <w:widowControl/>
              <w:rPr>
                <w:b/>
                <w:sz w:val="24"/>
              </w:rPr>
            </w:pPr>
            <w:r>
              <w:rPr>
                <w:b/>
                <w:sz w:val="24"/>
              </w:rPr>
            </w:r>
            <w:r/>
          </w:p>
        </w:tc>
        <w:tc>
          <w:tcPr>
            <w:tcW w:w="2342" w:type="dxa"/>
            <w:vAlign w:val="center"/>
            <w:vMerge w:val="continue"/>
            <w:textDirection w:val="lrTb"/>
            <w:noWrap w:val="false"/>
          </w:tcPr>
          <w:p>
            <w:pPr>
              <w:jc w:val="left"/>
              <w:widowControl/>
              <w:rPr>
                <w:b/>
                <w:sz w:val="24"/>
              </w:rPr>
            </w:pPr>
            <w:r>
              <w:rPr>
                <w:b/>
                <w:sz w:val="24"/>
              </w:rPr>
            </w:r>
            <w:r/>
          </w:p>
        </w:tc>
        <w:tc>
          <w:tcPr>
            <w:tcW w:w="2453" w:type="dxa"/>
            <w:vAlign w:val="center"/>
            <w:textDirection w:val="lrTb"/>
            <w:noWrap w:val="false"/>
          </w:tcPr>
          <w:p>
            <w:pPr>
              <w:jc w:val="center"/>
              <w:tabs>
                <w:tab w:val="left" w:pos="5580" w:leader="none"/>
              </w:tabs>
              <w:rPr>
                <w:b/>
                <w:sz w:val="24"/>
              </w:rPr>
            </w:pPr>
            <w:r>
              <w:rPr>
                <w:rFonts w:hint="eastAsia"/>
                <w:b/>
                <w:sz w:val="24"/>
              </w:rPr>
              <w:t xml:space="preserve">大写</w:t>
            </w:r>
            <w:r/>
          </w:p>
        </w:tc>
        <w:tc>
          <w:tcPr>
            <w:tcW w:w="2097" w:type="dxa"/>
            <w:vAlign w:val="center"/>
            <w:textDirection w:val="lrTb"/>
            <w:noWrap w:val="false"/>
          </w:tcPr>
          <w:p>
            <w:pPr>
              <w:jc w:val="center"/>
              <w:tabs>
                <w:tab w:val="left" w:pos="5580" w:leader="none"/>
              </w:tabs>
              <w:rPr>
                <w:b/>
                <w:sz w:val="24"/>
              </w:rPr>
            </w:pPr>
            <w:r>
              <w:rPr>
                <w:rFonts w:hint="eastAsia"/>
                <w:b/>
                <w:sz w:val="24"/>
              </w:rPr>
              <w:t xml:space="preserve">小写</w:t>
            </w:r>
            <w:r/>
          </w:p>
        </w:tc>
      </w:tr>
      <w:tr>
        <w:trPr>
          <w:jc w:val="center"/>
          <w:trHeight w:val="976"/>
        </w:trPr>
        <w:tc>
          <w:tcPr>
            <w:tcW w:w="592" w:type="dxa"/>
            <w:vAlign w:val="center"/>
            <w:textDirection w:val="lrTb"/>
            <w:noWrap w:val="false"/>
          </w:tcPr>
          <w:p>
            <w:pPr>
              <w:jc w:val="center"/>
              <w:tabs>
                <w:tab w:val="left" w:pos="5580" w:leader="none"/>
              </w:tabs>
              <w:rPr>
                <w:sz w:val="24"/>
              </w:rPr>
            </w:pPr>
            <w:r>
              <w:rPr>
                <w:sz w:val="24"/>
              </w:rPr>
            </w:r>
            <w:r/>
          </w:p>
        </w:tc>
        <w:tc>
          <w:tcPr>
            <w:tcW w:w="2342" w:type="dxa"/>
            <w:vAlign w:val="center"/>
            <w:textDirection w:val="lrTb"/>
            <w:noWrap w:val="false"/>
          </w:tcPr>
          <w:p>
            <w:pPr>
              <w:jc w:val="center"/>
              <w:tabs>
                <w:tab w:val="left" w:pos="5580" w:leader="none"/>
              </w:tabs>
              <w:rPr>
                <w:sz w:val="24"/>
              </w:rPr>
            </w:pPr>
            <w:r>
              <w:rPr>
                <w:sz w:val="24"/>
              </w:rPr>
            </w:r>
            <w:r/>
          </w:p>
        </w:tc>
        <w:tc>
          <w:tcPr>
            <w:tcW w:w="2453" w:type="dxa"/>
            <w:vAlign w:val="center"/>
            <w:textDirection w:val="lrTb"/>
            <w:noWrap w:val="false"/>
          </w:tcPr>
          <w:p>
            <w:pPr>
              <w:jc w:val="center"/>
              <w:tabs>
                <w:tab w:val="left" w:pos="5580" w:leader="none"/>
              </w:tabs>
              <w:rPr>
                <w:sz w:val="24"/>
              </w:rPr>
            </w:pPr>
            <w:r>
              <w:rPr>
                <w:sz w:val="24"/>
              </w:rPr>
            </w:r>
            <w:r/>
          </w:p>
        </w:tc>
        <w:tc>
          <w:tcPr>
            <w:tcW w:w="2097" w:type="dxa"/>
            <w:vAlign w:val="center"/>
            <w:textDirection w:val="lrTb"/>
            <w:noWrap w:val="false"/>
          </w:tcPr>
          <w:p>
            <w:pPr>
              <w:jc w:val="center"/>
              <w:tabs>
                <w:tab w:val="left" w:pos="5580" w:leader="none"/>
              </w:tabs>
              <w:rPr>
                <w:sz w:val="24"/>
              </w:rPr>
            </w:pPr>
            <w:r>
              <w:rPr>
                <w:sz w:val="24"/>
              </w:rPr>
            </w:r>
            <w:r/>
          </w:p>
        </w:tc>
      </w:tr>
    </w:tbl>
    <w:p>
      <w:pPr>
        <w:jc w:val="left"/>
        <w:rPr>
          <w:color w:val="000000"/>
          <w:sz w:val="24"/>
        </w:rPr>
      </w:pPr>
      <w:r>
        <w:rPr>
          <w:color w:val="000000"/>
          <w:sz w:val="24"/>
        </w:rPr>
      </w:r>
      <w:r/>
    </w:p>
    <w:p>
      <w:pPr>
        <w:jc w:val="left"/>
        <w:rPr>
          <w:color w:val="000000"/>
          <w:sz w:val="24"/>
          <w:szCs w:val="20"/>
        </w:rPr>
      </w:pPr>
      <w:r>
        <w:rPr>
          <w:color w:val="000000"/>
          <w:sz w:val="24"/>
        </w:rPr>
        <w:t xml:space="preserve">注：1</w:t>
      </w:r>
      <w:r>
        <w:rPr>
          <w:color w:val="000000"/>
          <w:sz w:val="24"/>
          <w:szCs w:val="20"/>
        </w:rPr>
        <w:t xml:space="preserve">.此表中，每包的报价应和《分项报价表》中的总价相一致。</w:t>
      </w:r>
      <w:r/>
    </w:p>
    <w:p>
      <w:pPr>
        <w:ind w:firstLine="480"/>
        <w:tabs>
          <w:tab w:val="left" w:pos="5580" w:leader="none"/>
        </w:tabs>
        <w:rPr>
          <w:color w:val="000000"/>
          <w:sz w:val="24"/>
          <w:szCs w:val="20"/>
        </w:rPr>
      </w:pPr>
      <w:r>
        <w:rPr>
          <w:color w:val="000000"/>
          <w:sz w:val="24"/>
          <w:szCs w:val="20"/>
        </w:rPr>
        <w:t xml:space="preserve">2.本表必须按包分别填写。</w:t>
      </w:r>
      <w:r/>
    </w:p>
    <w:p>
      <w:pPr>
        <w:spacing w:before="25" w:after="25" w:line="360" w:lineRule="auto"/>
        <w:rPr>
          <w:color w:val="000000"/>
          <w:sz w:val="24"/>
          <w:lang w:val="zh-CN"/>
        </w:rPr>
      </w:pPr>
      <w:r>
        <w:rPr>
          <w:color w:val="000000"/>
          <w:sz w:val="24"/>
          <w:lang w:val="zh-CN"/>
        </w:rPr>
      </w:r>
      <w:r/>
    </w:p>
    <w:p>
      <w:pPr>
        <w:spacing w:before="25" w:after="25" w:line="360" w:lineRule="auto"/>
        <w:rPr>
          <w:color w:val="000000"/>
          <w:sz w:val="24"/>
          <w:lang w:val="zh-CN"/>
        </w:rPr>
      </w:pPr>
      <w:r>
        <w:rPr>
          <w:color w:val="000000"/>
          <w:sz w:val="24"/>
          <w:lang w:val="zh-CN"/>
        </w:rPr>
        <w:t xml:space="preserve">                         </w:t>
      </w:r>
      <w:r/>
    </w:p>
    <w:p>
      <w:pPr>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p>
    <w:p>
      <w:pPr>
        <w:spacing w:before="25" w:after="25" w:line="360" w:lineRule="auto"/>
        <w:rPr>
          <w:color w:val="000000"/>
          <w:sz w:val="24"/>
          <w:lang w:val="zh-CN"/>
        </w:rPr>
      </w:pPr>
      <w:r>
        <w:rPr>
          <w:color w:val="000000"/>
          <w:sz w:val="24"/>
          <w:szCs w:val="20"/>
        </w:rPr>
        <w:t xml:space="preserve">日期：_____年______月______日   </w:t>
      </w:r>
      <w:r/>
    </w:p>
    <w:p>
      <w:pPr>
        <w:jc w:val="left"/>
        <w:widowControl/>
        <w:rPr>
          <w:color w:val="000000"/>
          <w:sz w:val="24"/>
          <w:szCs w:val="20"/>
        </w:rPr>
      </w:pPr>
      <w:r/>
      <w:bookmarkStart w:id="701" w:name="_Toc264969249"/>
      <w:r/>
      <w:bookmarkStart w:id="702" w:name="_Toc142311060"/>
      <w:r/>
      <w:bookmarkStart w:id="703" w:name="_Toc195842924"/>
      <w:r/>
      <w:bookmarkStart w:id="704" w:name="_Toc226965832"/>
      <w:r/>
      <w:bookmarkStart w:id="705" w:name="_Toc305158827"/>
      <w:r/>
      <w:bookmarkStart w:id="706" w:name="_Toc150774763"/>
      <w:r/>
      <w:bookmarkStart w:id="707" w:name="_Toc305158901"/>
      <w:r/>
      <w:bookmarkStart w:id="708" w:name="_Toc226309803"/>
      <w:r/>
      <w:bookmarkStart w:id="709" w:name="_Toc127151558"/>
      <w:r/>
      <w:bookmarkStart w:id="710" w:name="_Toc226337255"/>
      <w:r/>
      <w:bookmarkStart w:id="711" w:name="_Toc265228397"/>
      <w:r/>
      <w:bookmarkStart w:id="712" w:name="_Toc226965749"/>
      <w:r/>
      <w:bookmarkStart w:id="713" w:name="_Toc150480796"/>
      <w:r>
        <w:rPr>
          <w:color w:val="000000"/>
          <w:sz w:val="24"/>
          <w:szCs w:val="20"/>
        </w:rPr>
        <w:br w:type="page" w:clear="all"/>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r/>
    </w:p>
    <w:p>
      <w:pPr>
        <w:spacing w:line="360" w:lineRule="auto"/>
        <w:rPr>
          <w:color w:val="000000"/>
          <w:sz w:val="24"/>
          <w:szCs w:val="20"/>
        </w:rPr>
        <w:outlineLvl w:val="2"/>
      </w:pPr>
      <w:r/>
      <w:bookmarkStart w:id="714" w:name="_Toc195842927"/>
      <w:r/>
      <w:bookmarkStart w:id="715" w:name="_Toc226965752"/>
      <w:r/>
      <w:bookmarkStart w:id="716" w:name="_Toc305158904"/>
      <w:r/>
      <w:bookmarkStart w:id="717" w:name="_Toc142311062"/>
      <w:r/>
      <w:bookmarkStart w:id="718" w:name="_Toc226337258"/>
      <w:r/>
      <w:bookmarkStart w:id="719" w:name="_Toc264969252"/>
      <w:r/>
      <w:bookmarkStart w:id="720" w:name="_Toc226309806"/>
      <w:r/>
      <w:bookmarkStart w:id="721" w:name="_Toc127151562"/>
      <w:r/>
      <w:bookmarkStart w:id="722" w:name="_Toc226965835"/>
      <w:r/>
      <w:bookmarkStart w:id="723" w:name="_Toc305158830"/>
      <w:r/>
      <w:bookmarkStart w:id="724" w:name="_Toc265228400"/>
      <w:r/>
      <w:bookmarkStart w:id="725" w:name="_Toc150774765"/>
      <w:r/>
      <w:bookmarkStart w:id="726" w:name="_Toc150480798"/>
      <w:r/>
      <w:bookmarkStart w:id="727" w:name="_Toc305158829"/>
      <w:r/>
      <w:bookmarkStart w:id="728" w:name="_Toc142311061"/>
      <w:r/>
      <w:bookmarkStart w:id="729" w:name="_Toc150774764"/>
      <w:r/>
      <w:bookmarkStart w:id="730" w:name="_Toc226965751"/>
      <w:r/>
      <w:bookmarkStart w:id="731" w:name="_Toc150480797"/>
      <w:r/>
      <w:bookmarkStart w:id="732" w:name="_Toc127151561"/>
      <w:r/>
      <w:bookmarkStart w:id="733" w:name="_Toc265228399"/>
      <w:r/>
      <w:bookmarkStart w:id="734" w:name="_Toc226337257"/>
      <w:r/>
      <w:bookmarkStart w:id="735" w:name="_Toc226965834"/>
      <w:r/>
      <w:bookmarkStart w:id="736" w:name="_Toc305158903"/>
      <w:r/>
      <w:bookmarkStart w:id="737" w:name="_Toc264969251"/>
      <w:r/>
      <w:bookmarkStart w:id="738" w:name="_Toc195842926"/>
      <w:r/>
      <w:bookmarkStart w:id="739" w:name="_Toc226309805"/>
      <w:r>
        <w:rPr>
          <w:rFonts w:hint="eastAsia"/>
          <w:color w:val="000000"/>
          <w:sz w:val="24"/>
          <w:szCs w:val="20"/>
          <w:lang w:val="en-US" w:eastAsia="zh-CN"/>
        </w:rPr>
        <w:t xml:space="preserve">8</w:t>
      </w:r>
      <w:r>
        <w:rPr>
          <w:color w:val="000000"/>
          <w:sz w:val="24"/>
          <w:szCs w:val="20"/>
        </w:rPr>
        <w:t xml:space="preserve">  </w:t>
      </w:r>
      <w:r>
        <w:rPr>
          <w:rFonts w:hint="eastAsia"/>
          <w:color w:val="000000"/>
          <w:sz w:val="24"/>
          <w:szCs w:val="20"/>
          <w:lang w:val="en-US" w:eastAsia="zh-CN"/>
        </w:rPr>
        <w:t xml:space="preserve">分项报价</w:t>
      </w:r>
      <w:r>
        <w:rPr>
          <w:color w:val="000000"/>
          <w:sz w:val="24"/>
          <w:szCs w:val="20"/>
        </w:rPr>
        <w:t xml:space="preserve">表</w:t>
      </w:r>
      <w:r/>
    </w:p>
    <w:p>
      <w:pPr>
        <w:pStyle w:val="846"/>
        <w:numPr>
          <w:ilvl w:val="0"/>
          <w:numId w:val="0"/>
        </w:numPr>
        <w:jc w:val="center"/>
        <w:rPr>
          <w:rFonts w:hint="eastAsia" w:ascii="宋体" w:hAnsi="宋体" w:cs="宋体"/>
          <w:b/>
          <w:bCs/>
          <w:sz w:val="24"/>
          <w:szCs w:val="20"/>
          <w:lang w:val="en-US" w:eastAsia="zh-CN"/>
        </w:rPr>
      </w:pPr>
      <w:r>
        <w:rPr>
          <w:rFonts w:hint="eastAsia" w:ascii="宋体" w:hAnsi="宋体" w:cs="宋体"/>
          <w:b/>
          <w:bCs/>
          <w:sz w:val="24"/>
          <w:szCs w:val="20"/>
          <w:lang w:val="en-US" w:eastAsia="zh-CN"/>
        </w:rPr>
        <w:t xml:space="preserve">分项报价表</w:t>
      </w:r>
      <w:r/>
    </w:p>
    <w:p>
      <w:pPr>
        <w:rPr>
          <w:rFonts w:hint="eastAsia" w:eastAsia="宋体"/>
          <w:color w:val="auto"/>
          <w:sz w:val="21"/>
          <w:szCs w:val="21"/>
          <w:highlight w:val="none"/>
        </w:rPr>
      </w:pPr>
      <w:r>
        <w:rPr>
          <w:rFonts w:hint="eastAsia" w:eastAsia="宋体"/>
          <w:color w:val="auto"/>
          <w:sz w:val="21"/>
          <w:szCs w:val="21"/>
          <w:highlight w:val="none"/>
        </w:rPr>
      </w:r>
      <w:r/>
    </w:p>
    <w:p>
      <w:pPr>
        <w:jc w:val="left"/>
        <w:spacing w:before="240" w:after="240"/>
        <w:rPr>
          <w:rFonts w:ascii="Times New Roman" w:hAnsi="Times New Roman" w:eastAsia="宋体" w:cs="Times New Roman"/>
          <w:b/>
          <w:i/>
          <w:color w:val="ff0000"/>
          <w:sz w:val="24"/>
          <w:highlight w:val="none"/>
        </w:rPr>
      </w:pPr>
      <w:r>
        <w:rPr>
          <w:rFonts w:ascii="Times New Roman" w:hAnsi="Times New Roman" w:eastAsia="宋体" w:cs="Times New Roman"/>
          <w:b/>
          <w:i/>
          <w:color w:val="ff0000"/>
          <w:sz w:val="24"/>
          <w:highlight w:val="none"/>
        </w:rPr>
      </w:r>
      <w:r/>
    </w:p>
    <w:p>
      <w:pPr>
        <w:tabs>
          <w:tab w:val="left" w:pos="1800" w:leader="none"/>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项目编号/包号：___________ 项目名称：__________报价单位：人民币元</w:t>
      </w:r>
      <w:r/>
    </w:p>
    <w:tbl>
      <w:tblPr>
        <w:tblStyle w:val="855"/>
        <w:tblW w:w="86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3"/>
        <w:gridCol w:w="2533"/>
        <w:gridCol w:w="1042"/>
        <w:gridCol w:w="992"/>
        <w:gridCol w:w="919"/>
        <w:gridCol w:w="1072"/>
      </w:tblGrid>
      <w:tr>
        <w:trPr>
          <w:cantSplit/>
          <w:jc w:val="center"/>
          <w:trHeight w:val="285"/>
        </w:trPr>
        <w:tc>
          <w:tcPr>
            <w:tcW w:w="669" w:type="dxa"/>
            <w:vAlign w:val="center"/>
            <w:vMerge w:val="restart"/>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序号</w:t>
            </w:r>
            <w:r/>
          </w:p>
        </w:tc>
        <w:tc>
          <w:tcPr>
            <w:tcW w:w="1423" w:type="dxa"/>
            <w:vAlign w:val="center"/>
            <w:vMerge w:val="restart"/>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分项名称</w:t>
            </w:r>
            <w:r/>
          </w:p>
        </w:tc>
        <w:tc>
          <w:tcPr>
            <w:tcW w:w="2533" w:type="dxa"/>
            <w:vAlign w:val="center"/>
            <w:vMerge w:val="restart"/>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服务内容</w:t>
            </w:r>
            <w:r/>
          </w:p>
        </w:tc>
        <w:tc>
          <w:tcPr>
            <w:tcW w:w="1042" w:type="dxa"/>
            <w:vAlign w:val="center"/>
            <w:vMerge w:val="restart"/>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数量</w:t>
            </w:r>
            <w:r/>
          </w:p>
        </w:tc>
        <w:tc>
          <w:tcPr>
            <w:tcW w:w="992" w:type="dxa"/>
            <w:vAlign w:val="center"/>
            <w:vMerge w:val="restart"/>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单位</w:t>
            </w:r>
            <w:r/>
          </w:p>
        </w:tc>
        <w:tc>
          <w:tcPr>
            <w:gridSpan w:val="2"/>
            <w:tcW w:w="1991"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响应价格</w:t>
            </w:r>
            <w:r/>
          </w:p>
        </w:tc>
      </w:tr>
      <w:tr>
        <w:trPr>
          <w:cantSplit/>
          <w:jc w:val="center"/>
          <w:trHeight w:val="285"/>
        </w:trPr>
        <w:tc>
          <w:tcPr>
            <w:tcW w:w="669" w:type="dxa"/>
            <w:vAlign w:val="center"/>
            <w:vMerge w:val="continue"/>
            <w:textDirection w:val="lrTb"/>
            <w:noWrap w:val="false"/>
          </w:tcPr>
          <w:p>
            <w:pPr>
              <w:jc w:val="left"/>
              <w:widowControl/>
              <w:rPr>
                <w:rFonts w:ascii="宋体" w:hAnsi="宋体" w:eastAsia="宋体" w:cs="Arial"/>
                <w:sz w:val="24"/>
                <w:highlight w:val="none"/>
              </w:rPr>
            </w:pPr>
            <w:r>
              <w:rPr>
                <w:rFonts w:ascii="宋体" w:hAnsi="宋体" w:eastAsia="宋体" w:cs="Arial"/>
                <w:sz w:val="24"/>
                <w:highlight w:val="none"/>
              </w:rPr>
            </w:r>
            <w:r/>
          </w:p>
        </w:tc>
        <w:tc>
          <w:tcPr>
            <w:tcW w:w="1423" w:type="dxa"/>
            <w:vAlign w:val="center"/>
            <w:vMerge w:val="continue"/>
            <w:textDirection w:val="lrTb"/>
            <w:noWrap w:val="false"/>
          </w:tcPr>
          <w:p>
            <w:pPr>
              <w:jc w:val="left"/>
              <w:widowControl/>
              <w:rPr>
                <w:rFonts w:ascii="宋体" w:hAnsi="宋体" w:eastAsia="宋体" w:cs="Arial"/>
                <w:sz w:val="24"/>
                <w:highlight w:val="none"/>
              </w:rPr>
            </w:pPr>
            <w:r>
              <w:rPr>
                <w:rFonts w:ascii="宋体" w:hAnsi="宋体" w:eastAsia="宋体" w:cs="Arial"/>
                <w:sz w:val="24"/>
                <w:highlight w:val="none"/>
              </w:rPr>
            </w:r>
            <w:r/>
          </w:p>
        </w:tc>
        <w:tc>
          <w:tcPr>
            <w:tcW w:w="2533" w:type="dxa"/>
            <w:vAlign w:val="center"/>
            <w:vMerge w:val="continue"/>
            <w:textDirection w:val="lrTb"/>
            <w:noWrap w:val="false"/>
          </w:tcPr>
          <w:p>
            <w:pPr>
              <w:jc w:val="left"/>
              <w:widowControl/>
              <w:rPr>
                <w:rFonts w:ascii="宋体" w:hAnsi="宋体" w:eastAsia="宋体" w:cs="Arial"/>
                <w:sz w:val="24"/>
                <w:highlight w:val="none"/>
              </w:rPr>
            </w:pPr>
            <w:r>
              <w:rPr>
                <w:rFonts w:ascii="宋体" w:hAnsi="宋体" w:eastAsia="宋体" w:cs="Arial"/>
                <w:sz w:val="24"/>
                <w:highlight w:val="none"/>
              </w:rPr>
            </w:r>
            <w:r/>
          </w:p>
        </w:tc>
        <w:tc>
          <w:tcPr>
            <w:tcW w:w="1042" w:type="dxa"/>
            <w:vAlign w:val="center"/>
            <w:vMerge w:val="continue"/>
            <w:textDirection w:val="lrTb"/>
            <w:noWrap w:val="false"/>
          </w:tcPr>
          <w:p>
            <w:pPr>
              <w:jc w:val="left"/>
              <w:widowControl/>
              <w:rPr>
                <w:rFonts w:ascii="宋体" w:hAnsi="宋体" w:eastAsia="宋体" w:cs="Arial"/>
                <w:sz w:val="24"/>
                <w:highlight w:val="none"/>
              </w:rPr>
            </w:pPr>
            <w:r>
              <w:rPr>
                <w:rFonts w:ascii="宋体" w:hAnsi="宋体" w:eastAsia="宋体" w:cs="Arial"/>
                <w:sz w:val="24"/>
                <w:highlight w:val="none"/>
              </w:rPr>
            </w:r>
            <w:r/>
          </w:p>
        </w:tc>
        <w:tc>
          <w:tcPr>
            <w:tcW w:w="992" w:type="dxa"/>
            <w:vAlign w:val="center"/>
            <w:vMerge w:val="continue"/>
            <w:textDirection w:val="lrTb"/>
            <w:noWrap w:val="false"/>
          </w:tcPr>
          <w:p>
            <w:pPr>
              <w:jc w:val="left"/>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单价</w:t>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合价</w:t>
            </w:r>
            <w:r/>
          </w:p>
        </w:tc>
      </w:tr>
      <w:tr>
        <w:trPr>
          <w:jc w:val="center"/>
          <w:trHeight w:val="480"/>
        </w:trPr>
        <w:tc>
          <w:tcPr>
            <w:tcW w:w="669"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1</w:t>
            </w:r>
            <w:r/>
          </w:p>
        </w:tc>
        <w:tc>
          <w:tcPr>
            <w:tcW w:w="1423" w:type="dxa"/>
            <w:vAlign w:val="center"/>
            <w:textDirection w:val="lrTb"/>
            <w:noWrap w:val="false"/>
          </w:tcPr>
          <w:p>
            <w:pPr>
              <w:jc w:val="center"/>
              <w:spacing w:line="360" w:lineRule="auto"/>
              <w:widowControl/>
              <w:rPr>
                <w:rFonts w:ascii="宋体" w:hAnsi="宋体" w:eastAsia="宋体" w:cs="Arial"/>
                <w:b/>
                <w:bCs/>
                <w:sz w:val="24"/>
                <w:highlight w:val="none"/>
              </w:rPr>
            </w:pPr>
            <w:r>
              <w:rPr>
                <w:rFonts w:ascii="宋体" w:hAnsi="宋体" w:eastAsia="宋体" w:cs="Arial"/>
                <w:b/>
                <w:bCs/>
                <w:sz w:val="24"/>
                <w:highlight w:val="none"/>
              </w:rPr>
            </w:r>
            <w:r/>
          </w:p>
        </w:tc>
        <w:tc>
          <w:tcPr>
            <w:tcW w:w="2533"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4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9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2</w:t>
            </w:r>
            <w:r/>
          </w:p>
        </w:tc>
        <w:tc>
          <w:tcPr>
            <w:tcW w:w="1423" w:type="dxa"/>
            <w:vAlign w:val="center"/>
            <w:textDirection w:val="lrTb"/>
            <w:noWrap w:val="false"/>
          </w:tcPr>
          <w:p>
            <w:pPr>
              <w:jc w:val="center"/>
              <w:spacing w:line="360" w:lineRule="auto"/>
              <w:widowControl/>
              <w:rPr>
                <w:rFonts w:ascii="宋体" w:hAnsi="宋体" w:eastAsia="宋体" w:cs="Arial"/>
                <w:b/>
                <w:bCs/>
                <w:sz w:val="24"/>
                <w:highlight w:val="none"/>
              </w:rPr>
            </w:pPr>
            <w:r>
              <w:rPr>
                <w:rFonts w:ascii="宋体" w:hAnsi="宋体" w:eastAsia="宋体" w:cs="Arial"/>
                <w:b/>
                <w:bCs/>
                <w:sz w:val="24"/>
                <w:highlight w:val="none"/>
              </w:rPr>
            </w:r>
            <w:r/>
          </w:p>
        </w:tc>
        <w:tc>
          <w:tcPr>
            <w:tcW w:w="2533"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4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9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3</w:t>
            </w:r>
            <w:r/>
          </w:p>
        </w:tc>
        <w:tc>
          <w:tcPr>
            <w:tcW w:w="1423" w:type="dxa"/>
            <w:vAlign w:val="center"/>
            <w:textDirection w:val="lrTb"/>
            <w:noWrap w:val="false"/>
          </w:tcPr>
          <w:p>
            <w:pPr>
              <w:jc w:val="center"/>
              <w:spacing w:line="360" w:lineRule="auto"/>
              <w:widowControl/>
              <w:rPr>
                <w:rFonts w:ascii="宋体" w:hAnsi="宋体" w:eastAsia="宋体" w:cs="Arial"/>
                <w:b/>
                <w:bCs/>
                <w:sz w:val="24"/>
                <w:highlight w:val="none"/>
              </w:rPr>
            </w:pPr>
            <w:r>
              <w:rPr>
                <w:rFonts w:ascii="宋体" w:hAnsi="宋体" w:eastAsia="宋体" w:cs="Arial"/>
                <w:b/>
                <w:bCs/>
                <w:sz w:val="24"/>
                <w:highlight w:val="none"/>
              </w:rPr>
            </w:r>
            <w:r/>
          </w:p>
        </w:tc>
        <w:tc>
          <w:tcPr>
            <w:tcW w:w="2533"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4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9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4</w:t>
            </w:r>
            <w:r/>
          </w:p>
        </w:tc>
        <w:tc>
          <w:tcPr>
            <w:tcW w:w="1423" w:type="dxa"/>
            <w:vAlign w:val="center"/>
            <w:textDirection w:val="lrTb"/>
            <w:noWrap w:val="false"/>
          </w:tcPr>
          <w:p>
            <w:pPr>
              <w:jc w:val="center"/>
              <w:spacing w:line="360" w:lineRule="auto"/>
              <w:widowControl/>
              <w:rPr>
                <w:rFonts w:ascii="宋体" w:hAnsi="宋体" w:eastAsia="宋体" w:cs="Arial"/>
                <w:b/>
                <w:bCs/>
                <w:sz w:val="24"/>
                <w:highlight w:val="none"/>
              </w:rPr>
            </w:pPr>
            <w:r>
              <w:rPr>
                <w:rFonts w:ascii="宋体" w:hAnsi="宋体" w:eastAsia="宋体" w:cs="Arial"/>
                <w:b/>
                <w:bCs/>
                <w:sz w:val="24"/>
                <w:highlight w:val="none"/>
              </w:rPr>
            </w:r>
            <w:r/>
          </w:p>
        </w:tc>
        <w:tc>
          <w:tcPr>
            <w:tcW w:w="2533"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4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9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5</w:t>
            </w:r>
            <w:r/>
          </w:p>
        </w:tc>
        <w:tc>
          <w:tcPr>
            <w:tcW w:w="1423" w:type="dxa"/>
            <w:vAlign w:val="center"/>
            <w:textDirection w:val="lrTb"/>
            <w:noWrap w:val="false"/>
          </w:tcPr>
          <w:p>
            <w:pPr>
              <w:jc w:val="center"/>
              <w:spacing w:line="360" w:lineRule="auto"/>
              <w:widowControl/>
              <w:rPr>
                <w:rFonts w:ascii="宋体" w:hAnsi="宋体" w:eastAsia="宋体" w:cs="Arial"/>
                <w:b/>
                <w:bCs/>
                <w:sz w:val="24"/>
                <w:highlight w:val="none"/>
              </w:rPr>
            </w:pPr>
            <w:r>
              <w:rPr>
                <w:rFonts w:ascii="宋体" w:hAnsi="宋体" w:eastAsia="宋体" w:cs="Arial"/>
                <w:b/>
                <w:bCs/>
                <w:sz w:val="24"/>
                <w:highlight w:val="none"/>
              </w:rPr>
            </w:r>
            <w:r/>
          </w:p>
        </w:tc>
        <w:tc>
          <w:tcPr>
            <w:tcW w:w="2533"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4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9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w:t>
            </w:r>
            <w:r/>
          </w:p>
        </w:tc>
        <w:tc>
          <w:tcPr>
            <w:tcW w:w="1423" w:type="dxa"/>
            <w:vAlign w:val="center"/>
            <w:textDirection w:val="lrTb"/>
            <w:noWrap w:val="false"/>
          </w:tcPr>
          <w:p>
            <w:pPr>
              <w:jc w:val="center"/>
              <w:spacing w:line="360" w:lineRule="auto"/>
              <w:widowControl/>
              <w:rPr>
                <w:rFonts w:ascii="宋体" w:hAnsi="宋体" w:eastAsia="宋体" w:cs="Arial"/>
                <w:b/>
                <w:bCs/>
                <w:sz w:val="24"/>
                <w:highlight w:val="none"/>
              </w:rPr>
            </w:pPr>
            <w:r>
              <w:rPr>
                <w:rFonts w:ascii="宋体" w:hAnsi="宋体" w:eastAsia="宋体" w:cs="Arial"/>
                <w:b/>
                <w:bCs/>
                <w:sz w:val="24"/>
                <w:highlight w:val="none"/>
              </w:rPr>
            </w:r>
            <w:r/>
          </w:p>
        </w:tc>
        <w:tc>
          <w:tcPr>
            <w:tcW w:w="2533"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4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9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jc w:val="center"/>
          <w:trHeight w:val="480"/>
        </w:trPr>
        <w:tc>
          <w:tcPr>
            <w:gridSpan w:val="3"/>
            <w:tcW w:w="4625"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总价</w:t>
            </w:r>
            <w:r/>
          </w:p>
        </w:tc>
        <w:tc>
          <w:tcPr>
            <w:gridSpan w:val="4"/>
            <w:tcW w:w="4025"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bl>
    <w:p>
      <w:pPr>
        <w:jc w:val="left"/>
        <w:tabs>
          <w:tab w:val="left" w:pos="1800" w:leader="none"/>
          <w:tab w:val="left" w:pos="55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r>
      <w:r/>
    </w:p>
    <w:p>
      <w:pPr>
        <w:jc w:val="left"/>
        <w:tabs>
          <w:tab w:val="left" w:pos="1800" w:leader="none"/>
          <w:tab w:val="left" w:pos="55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r>
      <w:r/>
    </w:p>
    <w:p>
      <w:pPr>
        <w:jc w:val="left"/>
        <w:tabs>
          <w:tab w:val="left" w:pos="1800" w:leader="none"/>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注：1.本表应按包分别填写。</w:t>
      </w:r>
      <w:r/>
    </w:p>
    <w:p>
      <w:pPr>
        <w:ind w:firstLine="480"/>
        <w:jc w:val="left"/>
        <w:tabs>
          <w:tab w:val="left" w:pos="1800" w:leader="none"/>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2.如果不提供分项报价将视为没有实质性响</w:t>
      </w:r>
      <w:r>
        <w:rPr>
          <w:rFonts w:ascii="Times New Roman" w:hAnsi="Times New Roman" w:eastAsia="宋体" w:cs="Times New Roman"/>
          <w:color w:val="000000"/>
          <w:sz w:val="24"/>
          <w:highlight w:val="none"/>
          <w:lang w:val="en-US" w:eastAsia="zh-CN"/>
        </w:rPr>
        <w:t xml:space="preserve">应</w:t>
      </w:r>
      <w:r>
        <w:rPr>
          <w:rFonts w:hint="eastAsia" w:ascii="Times New Roman" w:hAnsi="Times New Roman" w:eastAsia="宋体" w:cs="Times New Roman"/>
          <w:color w:val="000000"/>
          <w:sz w:val="24"/>
          <w:highlight w:val="none"/>
          <w:lang w:val="en-US" w:eastAsia="zh-CN"/>
        </w:rPr>
        <w:t xml:space="preserve">招标</w:t>
      </w:r>
      <w:r>
        <w:rPr>
          <w:rFonts w:ascii="Times New Roman" w:hAnsi="Times New Roman" w:eastAsia="宋体" w:cs="Times New Roman"/>
          <w:color w:val="000000"/>
          <w:sz w:val="24"/>
          <w:highlight w:val="none"/>
        </w:rPr>
        <w:t xml:space="preserve">文件</w:t>
      </w:r>
      <w:r/>
    </w:p>
    <w:p>
      <w:pPr>
        <w:ind w:firstLine="480"/>
        <w:jc w:val="left"/>
        <w:tabs>
          <w:tab w:val="left" w:pos="1800" w:leader="none"/>
          <w:tab w:val="left" w:pos="5580" w:leader="none"/>
        </w:tabs>
        <w:rPr>
          <w:rFonts w:hint="eastAsia"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3.</w:t>
      </w:r>
      <w:r>
        <w:rPr>
          <w:rFonts w:hint="eastAsia" w:ascii="Times New Roman" w:hAnsi="Times New Roman" w:eastAsia="宋体" w:cs="Times New Roman"/>
          <w:color w:val="000000"/>
          <w:sz w:val="24"/>
          <w:highlight w:val="none"/>
        </w:rPr>
        <w:t xml:space="preserve">本表行数可以按照项目分项情况增加。</w:t>
      </w:r>
      <w:r/>
    </w:p>
    <w:p>
      <w:pPr>
        <w:ind w:firstLine="480"/>
        <w:jc w:val="left"/>
        <w:tabs>
          <w:tab w:val="left" w:pos="1800" w:leader="none"/>
          <w:tab w:val="left" w:pos="5580" w:leader="none"/>
        </w:tabs>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4.</w:t>
      </w:r>
      <w:r>
        <w:rPr>
          <w:rFonts w:ascii="Times New Roman" w:hAnsi="Times New Roman" w:eastAsia="宋体" w:cs="Times New Roman"/>
          <w:color w:val="000000"/>
          <w:sz w:val="24"/>
          <w:highlight w:val="none"/>
        </w:rPr>
        <w:t xml:space="preserve">上述各项的</w:t>
      </w:r>
      <w:r>
        <w:rPr>
          <w:rFonts w:hint="eastAsia" w:ascii="Times New Roman" w:hAnsi="Times New Roman" w:eastAsia="宋体" w:cs="Times New Roman"/>
          <w:color w:val="000000"/>
          <w:sz w:val="24"/>
          <w:highlight w:val="none"/>
        </w:rPr>
        <w:t xml:space="preserve">服务内容如表格中填写不下的</w:t>
      </w:r>
      <w:r>
        <w:rPr>
          <w:rFonts w:ascii="Times New Roman" w:hAnsi="Times New Roman" w:eastAsia="宋体" w:cs="Times New Roman"/>
          <w:color w:val="000000"/>
          <w:sz w:val="24"/>
          <w:highlight w:val="none"/>
        </w:rPr>
        <w:t xml:space="preserve">，可</w:t>
      </w:r>
      <w:r>
        <w:rPr>
          <w:rFonts w:hint="eastAsia" w:ascii="Times New Roman" w:hAnsi="Times New Roman" w:eastAsia="宋体" w:cs="Times New Roman"/>
          <w:color w:val="000000"/>
          <w:sz w:val="24"/>
          <w:highlight w:val="none"/>
        </w:rPr>
        <w:t xml:space="preserve">以逐项</w:t>
      </w:r>
      <w:r>
        <w:rPr>
          <w:rFonts w:ascii="Times New Roman" w:hAnsi="Times New Roman" w:eastAsia="宋体" w:cs="Times New Roman"/>
          <w:color w:val="000000"/>
          <w:sz w:val="24"/>
          <w:highlight w:val="none"/>
        </w:rPr>
        <w:t xml:space="preserve">另页描述。</w:t>
      </w:r>
      <w:r/>
    </w:p>
    <w:p>
      <w:pPr>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                  </w:t>
      </w:r>
      <w:r/>
    </w:p>
    <w:p>
      <w:pPr>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rPr>
        <w:t xml:space="preserve">供应商名称（加盖公章）</w:t>
      </w:r>
      <w:r>
        <w:rPr>
          <w:rFonts w:ascii="Times New Roman" w:hAnsi="Times New Roman" w:eastAsia="宋体" w:cs="Times New Roman"/>
          <w:color w:val="000000"/>
          <w:sz w:val="24"/>
          <w:highlight w:val="none"/>
          <w:lang w:val="zh-CN"/>
        </w:rPr>
        <w:t xml:space="preserve">：____________</w:t>
      </w:r>
      <w:r/>
    </w:p>
    <w:p>
      <w:pPr>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szCs w:val="20"/>
          <w:highlight w:val="none"/>
        </w:rPr>
        <w:t xml:space="preserve">日期：_____年______月______日   </w:t>
      </w:r>
      <w:r/>
    </w:p>
    <w:p>
      <w:pPr>
        <w:rPr>
          <w:rFonts w:hint="eastAsia" w:eastAsia="宋体"/>
        </w:rPr>
      </w:pPr>
      <w:r>
        <w:rPr>
          <w:rFonts w:hint="eastAsia" w:eastAsia="宋体"/>
        </w:rPr>
      </w:r>
      <w:r/>
    </w:p>
    <w:p>
      <w:pPr>
        <w:rPr>
          <w:rFonts w:hint="eastAsia"/>
        </w:rPr>
      </w:pPr>
      <w:r>
        <w:rPr>
          <w:rFonts w:hint="eastAsia"/>
        </w:rPr>
      </w:r>
      <w:r/>
    </w:p>
    <w:p>
      <w:pPr>
        <w:pStyle w:val="846"/>
        <w:rPr>
          <w:rFonts w:hint="eastAsia"/>
        </w:rPr>
      </w:pPr>
      <w:r>
        <w:rPr>
          <w:rFonts w:hint="eastAsia"/>
        </w:rPr>
      </w:r>
      <w:r/>
    </w:p>
    <w:p>
      <w:pPr>
        <w:rPr>
          <w:rFonts w:hint="eastAsia"/>
        </w:rPr>
      </w:pPr>
      <w:r>
        <w:rPr>
          <w:rFonts w:hint="eastAsia"/>
        </w:rPr>
      </w:r>
      <w:r/>
    </w:p>
    <w:p>
      <w:pPr>
        <w:pStyle w:val="859"/>
        <w:rPr>
          <w:rFonts w:hint="eastAsia"/>
        </w:rPr>
      </w:pPr>
      <w:r>
        <w:rPr>
          <w:rFonts w:hint="eastAsia"/>
        </w:rPr>
      </w:r>
      <w:r/>
    </w:p>
    <w:p>
      <w:pPr>
        <w:rPr>
          <w:rFonts w:hint="eastAsia"/>
        </w:rPr>
      </w:pPr>
      <w:r>
        <w:rPr>
          <w:rFonts w:hint="eastAsia"/>
        </w:rPr>
      </w:r>
      <w:r/>
    </w:p>
    <w:p>
      <w:pPr>
        <w:pStyle w:val="859"/>
        <w:rPr>
          <w:rFonts w:hint="eastAsia"/>
        </w:rPr>
      </w:pPr>
      <w:r>
        <w:rPr>
          <w:rFonts w:hint="eastAsia"/>
        </w:rPr>
      </w:r>
      <w:r/>
    </w:p>
    <w:p>
      <w:pPr>
        <w:spacing w:line="360" w:lineRule="auto"/>
        <w:rPr>
          <w:rFonts w:hint="eastAsia"/>
          <w:color w:val="000000"/>
          <w:sz w:val="24"/>
          <w:szCs w:val="20"/>
          <w:lang w:val="en-US" w:eastAsia="zh-CN"/>
        </w:rPr>
        <w:outlineLvl w:val="2"/>
      </w:pPr>
      <w:r>
        <w:rPr>
          <w:rFonts w:hint="eastAsia"/>
          <w:color w:val="000000"/>
          <w:sz w:val="24"/>
          <w:szCs w:val="20"/>
          <w:lang w:val="en-US" w:eastAsia="zh-CN"/>
        </w:rPr>
      </w:r>
      <w:r/>
    </w:p>
    <w:p>
      <w:pPr>
        <w:spacing w:line="360" w:lineRule="auto"/>
        <w:rPr>
          <w:color w:val="000000"/>
          <w:sz w:val="24"/>
          <w:szCs w:val="20"/>
        </w:rPr>
        <w:outlineLvl w:val="2"/>
      </w:pPr>
      <w:r>
        <w:rPr>
          <w:rFonts w:hint="eastAsia"/>
          <w:color w:val="000000"/>
          <w:sz w:val="24"/>
          <w:szCs w:val="20"/>
          <w:lang w:val="en-US" w:eastAsia="zh-CN"/>
        </w:rPr>
        <w:t xml:space="preserve">9</w:t>
      </w:r>
      <w:r>
        <w:rPr>
          <w:color w:val="000000"/>
          <w:sz w:val="24"/>
          <w:szCs w:val="20"/>
        </w:rPr>
        <w:t xml:space="preserve">  合同条款偏离表</w:t>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r/>
    </w:p>
    <w:p>
      <w:pPr>
        <w:spacing w:line="360" w:lineRule="auto"/>
        <w:rPr>
          <w:color w:val="000000"/>
          <w:sz w:val="24"/>
          <w:szCs w:val="20"/>
        </w:rPr>
      </w:pPr>
      <w:r>
        <w:rPr>
          <w:color w:val="000000"/>
          <w:sz w:val="24"/>
          <w:szCs w:val="20"/>
        </w:rPr>
      </w:r>
      <w:r/>
    </w:p>
    <w:p>
      <w:pPr>
        <w:jc w:val="center"/>
        <w:rPr>
          <w:b/>
          <w:color w:val="000000"/>
          <w:sz w:val="36"/>
          <w:szCs w:val="36"/>
        </w:rPr>
      </w:pPr>
      <w:r>
        <w:rPr>
          <w:rFonts w:hint="eastAsia"/>
          <w:b/>
          <w:color w:val="000000"/>
          <w:sz w:val="36"/>
          <w:szCs w:val="36"/>
        </w:rPr>
        <w:t xml:space="preserve">合同条款偏离表</w:t>
      </w:r>
      <w:r/>
    </w:p>
    <w:p>
      <w:pPr>
        <w:jc w:val="center"/>
        <w:rPr>
          <w:color w:val="000000"/>
          <w:sz w:val="36"/>
          <w:szCs w:val="36"/>
        </w:rPr>
      </w:pPr>
      <w:r>
        <w:rPr>
          <w:color w:val="000000"/>
          <w:sz w:val="36"/>
          <w:szCs w:val="36"/>
        </w:rPr>
      </w:r>
      <w:r/>
    </w:p>
    <w:p>
      <w:pPr>
        <w:spacing w:line="360" w:lineRule="auto"/>
        <w:rPr>
          <w:color w:val="000000"/>
          <w:sz w:val="24"/>
          <w:szCs w:val="20"/>
        </w:rPr>
      </w:pPr>
      <w:r>
        <w:rPr>
          <w:color w:val="000000"/>
          <w:sz w:val="24"/>
          <w:szCs w:val="20"/>
        </w:rPr>
      </w:r>
      <w:r/>
    </w:p>
    <w:p>
      <w:pPr>
        <w:ind w:firstLine="360"/>
        <w:jc w:val="left"/>
        <w:spacing w:line="360" w:lineRule="auto"/>
        <w:tabs>
          <w:tab w:val="left" w:pos="1800" w:leader="none"/>
          <w:tab w:val="left" w:pos="5580" w:leader="none"/>
        </w:tabs>
        <w:rPr>
          <w:color w:val="000000"/>
          <w:sz w:val="24"/>
        </w:rPr>
      </w:pPr>
      <w:r>
        <w:rPr>
          <w:color w:val="000000"/>
          <w:sz w:val="24"/>
        </w:rPr>
        <w:t xml:space="preserve">项目编号/包号：_______________     项目名称：_____________________</w:t>
      </w:r>
      <w:r/>
    </w:p>
    <w:tbl>
      <w:tblPr>
        <w:tblStyle w:val="85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0"/>
        <w:gridCol w:w="1216"/>
        <w:gridCol w:w="1788"/>
        <w:gridCol w:w="1789"/>
        <w:gridCol w:w="2209"/>
        <w:gridCol w:w="741"/>
      </w:tblGrid>
      <w:tr>
        <w:trPr>
          <w:jc w:val="center"/>
          <w:trHeight w:val="930"/>
        </w:trPr>
        <w:tc>
          <w:tcPr>
            <w:gridSpan w:val="6"/>
            <w:tcW w:w="8523" w:type="dxa"/>
            <w:vAlign w:val="center"/>
            <w:textDirection w:val="lrTb"/>
            <w:noWrap w:val="false"/>
          </w:tcPr>
          <w:p>
            <w:pPr>
              <w:jc w:val="left"/>
              <w:rPr>
                <w:b/>
                <w:color w:val="000000"/>
                <w:sz w:val="24"/>
              </w:rPr>
            </w:pPr>
            <w:r>
              <w:rPr>
                <w:rFonts w:hint="eastAsia"/>
                <w:b/>
                <w:color w:val="000000"/>
                <w:sz w:val="24"/>
              </w:rPr>
              <w:t xml:space="preserve">对本项目合同条款的偏离情况（请进行勾选）：</w:t>
            </w:r>
            <w:r/>
          </w:p>
          <w:p>
            <w:pPr>
              <w:jc w:val="left"/>
              <w:rPr>
                <w:b/>
                <w:color w:val="000000"/>
                <w:sz w:val="24"/>
              </w:rPr>
            </w:pPr>
            <w:r>
              <w:rPr>
                <w:b/>
                <w:color w:val="000000"/>
                <w:sz w:val="24"/>
              </w:rPr>
              <w:t xml:space="preserve">□无偏离</w:t>
            </w:r>
            <w:r>
              <w:rPr>
                <w:color w:val="000000"/>
                <w:sz w:val="24"/>
              </w:rPr>
              <w:t xml:space="preserve">（</w:t>
            </w:r>
            <w:r>
              <w:rPr>
                <w:color w:val="000000"/>
                <w:sz w:val="24"/>
                <w:szCs w:val="21"/>
              </w:rPr>
              <w:t xml:space="preserve">如无偏离，仅勾选无偏离即可</w:t>
            </w:r>
            <w:r>
              <w:rPr>
                <w:color w:val="000000"/>
                <w:sz w:val="24"/>
              </w:rPr>
              <w:t xml:space="preserve">）</w:t>
            </w:r>
            <w:r/>
          </w:p>
          <w:p>
            <w:pPr>
              <w:jc w:val="left"/>
              <w:rPr>
                <w:color w:val="000000"/>
                <w:sz w:val="24"/>
              </w:rPr>
            </w:pPr>
            <w:r>
              <w:rPr>
                <w:b/>
                <w:color w:val="000000"/>
                <w:sz w:val="24"/>
              </w:rPr>
              <w:t xml:space="preserve">□有偏离</w:t>
            </w:r>
            <w:r>
              <w:rPr>
                <w:color w:val="000000"/>
                <w:sz w:val="24"/>
              </w:rPr>
              <w:t xml:space="preserve">（</w:t>
            </w:r>
            <w:r>
              <w:rPr>
                <w:color w:val="000000"/>
                <w:sz w:val="24"/>
                <w:szCs w:val="21"/>
              </w:rPr>
              <w:t xml:space="preserve">如有负偏离，</w:t>
            </w:r>
            <w:r>
              <w:rPr>
                <w:color w:val="000000"/>
                <w:sz w:val="24"/>
              </w:rPr>
              <w:t xml:space="preserve">则须在本表中对负偏离项逐一列明）</w:t>
            </w:r>
            <w:r/>
          </w:p>
        </w:tc>
      </w:tr>
      <w:tr>
        <w:trPr>
          <w:jc w:val="center"/>
          <w:trHeight w:val="930"/>
        </w:trPr>
        <w:tc>
          <w:tcPr>
            <w:tcW w:w="834" w:type="dxa"/>
            <w:vAlign w:val="center"/>
            <w:textDirection w:val="lrTb"/>
            <w:noWrap w:val="false"/>
          </w:tcPr>
          <w:p>
            <w:pPr>
              <w:jc w:val="center"/>
              <w:rPr>
                <w:color w:val="000000"/>
                <w:sz w:val="24"/>
              </w:rPr>
            </w:pPr>
            <w:r>
              <w:rPr>
                <w:color w:val="000000"/>
                <w:sz w:val="24"/>
              </w:rPr>
              <w:t xml:space="preserve">序号</w:t>
            </w:r>
            <w:r/>
          </w:p>
        </w:tc>
        <w:tc>
          <w:tcPr>
            <w:tcW w:w="1301" w:type="dxa"/>
            <w:vAlign w:val="center"/>
            <w:textDirection w:val="lrTb"/>
            <w:noWrap w:val="false"/>
          </w:tcPr>
          <w:p>
            <w:pPr>
              <w:jc w:val="center"/>
              <w:rPr>
                <w:color w:val="000000"/>
                <w:sz w:val="24"/>
              </w:rPr>
            </w:pPr>
            <w:r>
              <w:rPr>
                <w:color w:val="000000"/>
                <w:sz w:val="24"/>
                <w:szCs w:val="21"/>
              </w:rPr>
              <w:t xml:space="preserve">磋商文件</w:t>
            </w:r>
            <w:r>
              <w:rPr>
                <w:color w:val="000000"/>
                <w:sz w:val="24"/>
              </w:rPr>
              <w:t xml:space="preserve">条目号（页码）</w:t>
            </w:r>
            <w:r/>
          </w:p>
        </w:tc>
        <w:tc>
          <w:tcPr>
            <w:tcW w:w="2007" w:type="dxa"/>
            <w:vAlign w:val="center"/>
            <w:textDirection w:val="lrTb"/>
            <w:noWrap w:val="false"/>
          </w:tcPr>
          <w:p>
            <w:pPr>
              <w:jc w:val="center"/>
              <w:rPr>
                <w:color w:val="000000"/>
                <w:sz w:val="24"/>
              </w:rPr>
            </w:pPr>
            <w:r>
              <w:rPr>
                <w:color w:val="000000"/>
                <w:sz w:val="24"/>
                <w:szCs w:val="21"/>
              </w:rPr>
              <w:t xml:space="preserve">磋商文件</w:t>
            </w:r>
            <w:r>
              <w:rPr>
                <w:color w:val="000000"/>
                <w:sz w:val="24"/>
              </w:rPr>
              <w:t xml:space="preserve">要求</w:t>
            </w:r>
            <w:r/>
          </w:p>
        </w:tc>
        <w:tc>
          <w:tcPr>
            <w:tcW w:w="2008" w:type="dxa"/>
            <w:vAlign w:val="center"/>
            <w:textDirection w:val="lrTb"/>
            <w:noWrap w:val="false"/>
          </w:tcPr>
          <w:p>
            <w:pPr>
              <w:jc w:val="center"/>
              <w:rPr>
                <w:color w:val="000000"/>
                <w:sz w:val="24"/>
              </w:rPr>
            </w:pPr>
            <w:r>
              <w:rPr>
                <w:color w:val="000000"/>
                <w:sz w:val="24"/>
              </w:rPr>
              <w:t xml:space="preserve">响应文件内容</w:t>
            </w:r>
            <w:r/>
          </w:p>
        </w:tc>
        <w:tc>
          <w:tcPr>
            <w:tcW w:w="2458" w:type="dxa"/>
            <w:vAlign w:val="center"/>
            <w:textDirection w:val="lrTb"/>
            <w:noWrap w:val="false"/>
          </w:tcPr>
          <w:p>
            <w:pPr>
              <w:jc w:val="center"/>
              <w:rPr>
                <w:color w:val="000000"/>
                <w:sz w:val="24"/>
              </w:rPr>
            </w:pPr>
            <w:r>
              <w:rPr>
                <w:color w:val="000000"/>
                <w:sz w:val="24"/>
              </w:rPr>
              <w:t xml:space="preserve">偏离情况</w:t>
            </w:r>
            <w:r/>
          </w:p>
          <w:p>
            <w:pPr>
              <w:jc w:val="center"/>
              <w:rPr>
                <w:color w:val="000000"/>
                <w:sz w:val="24"/>
              </w:rPr>
            </w:pPr>
            <w:r>
              <w:rPr>
                <w:color w:val="000000"/>
                <w:sz w:val="24"/>
              </w:rPr>
              <w:t xml:space="preserve">（据实填写）</w:t>
            </w:r>
            <w:r/>
          </w:p>
        </w:tc>
        <w:tc>
          <w:tcPr>
            <w:tcW w:w="788" w:type="dxa"/>
            <w:vAlign w:val="center"/>
            <w:textDirection w:val="lrTb"/>
            <w:noWrap w:val="false"/>
          </w:tcPr>
          <w:p>
            <w:pPr>
              <w:jc w:val="center"/>
              <w:rPr>
                <w:color w:val="000000"/>
                <w:sz w:val="24"/>
              </w:rPr>
            </w:pPr>
            <w:r>
              <w:rPr>
                <w:color w:val="000000"/>
                <w:sz w:val="24"/>
              </w:rPr>
              <w:t xml:space="preserve">说明</w:t>
            </w:r>
            <w:r/>
          </w:p>
        </w:tc>
      </w:tr>
      <w:tr>
        <w:trPr>
          <w:jc w:val="center"/>
          <w:trHeight w:val="930"/>
        </w:trPr>
        <w:tc>
          <w:tcPr>
            <w:tcW w:w="834" w:type="dxa"/>
            <w:vAlign w:val="center"/>
            <w:textDirection w:val="lrTb"/>
            <w:noWrap w:val="false"/>
          </w:tcPr>
          <w:p>
            <w:pPr>
              <w:jc w:val="center"/>
              <w:rPr>
                <w:color w:val="000000"/>
                <w:sz w:val="24"/>
              </w:rPr>
            </w:pPr>
            <w:r>
              <w:rPr>
                <w:color w:val="000000"/>
                <w:sz w:val="24"/>
              </w:rPr>
            </w:r>
            <w:r/>
          </w:p>
        </w:tc>
        <w:tc>
          <w:tcPr>
            <w:tcW w:w="1301" w:type="dxa"/>
            <w:vAlign w:val="center"/>
            <w:textDirection w:val="lrTb"/>
            <w:noWrap w:val="false"/>
          </w:tcPr>
          <w:p>
            <w:pPr>
              <w:jc w:val="center"/>
              <w:rPr>
                <w:color w:val="000000"/>
                <w:sz w:val="24"/>
              </w:rPr>
            </w:pPr>
            <w:r>
              <w:rPr>
                <w:color w:val="000000"/>
                <w:sz w:val="24"/>
              </w:rPr>
            </w:r>
            <w:r/>
          </w:p>
        </w:tc>
        <w:tc>
          <w:tcPr>
            <w:tcW w:w="2007" w:type="dxa"/>
            <w:vAlign w:val="center"/>
            <w:textDirection w:val="lrTb"/>
            <w:noWrap w:val="false"/>
          </w:tcPr>
          <w:p>
            <w:pPr>
              <w:jc w:val="center"/>
              <w:rPr>
                <w:color w:val="000000"/>
                <w:sz w:val="24"/>
              </w:rPr>
            </w:pPr>
            <w:r>
              <w:rPr>
                <w:color w:val="000000"/>
                <w:sz w:val="24"/>
              </w:rPr>
            </w:r>
            <w:r/>
          </w:p>
        </w:tc>
        <w:tc>
          <w:tcPr>
            <w:tcW w:w="2008" w:type="dxa"/>
            <w:vAlign w:val="center"/>
            <w:textDirection w:val="lrTb"/>
            <w:noWrap w:val="false"/>
          </w:tcPr>
          <w:p>
            <w:pPr>
              <w:jc w:val="center"/>
              <w:rPr>
                <w:color w:val="000000"/>
                <w:sz w:val="24"/>
              </w:rPr>
            </w:pPr>
            <w:r>
              <w:rPr>
                <w:color w:val="000000"/>
                <w:sz w:val="24"/>
              </w:rPr>
            </w:r>
            <w:r/>
          </w:p>
        </w:tc>
        <w:tc>
          <w:tcPr>
            <w:tcW w:w="2458" w:type="dxa"/>
            <w:vAlign w:val="center"/>
            <w:textDirection w:val="lrTb"/>
            <w:noWrap w:val="false"/>
          </w:tcPr>
          <w:p>
            <w:pPr>
              <w:jc w:val="center"/>
              <w:rPr>
                <w:color w:val="000000"/>
                <w:sz w:val="24"/>
              </w:rPr>
            </w:pPr>
            <w:r>
              <w:rPr>
                <w:color w:val="000000"/>
                <w:sz w:val="24"/>
              </w:rPr>
            </w:r>
            <w:r/>
          </w:p>
        </w:tc>
        <w:tc>
          <w:tcPr>
            <w:tcW w:w="788" w:type="dxa"/>
            <w:vAlign w:val="center"/>
            <w:textDirection w:val="lrTb"/>
            <w:noWrap w:val="false"/>
          </w:tcPr>
          <w:p>
            <w:pPr>
              <w:jc w:val="center"/>
              <w:rPr>
                <w:color w:val="000000"/>
                <w:sz w:val="24"/>
              </w:rPr>
            </w:pPr>
            <w:r>
              <w:rPr>
                <w:color w:val="000000"/>
                <w:sz w:val="24"/>
              </w:rPr>
            </w:r>
            <w:r/>
          </w:p>
        </w:tc>
      </w:tr>
      <w:tr>
        <w:trPr>
          <w:jc w:val="center"/>
          <w:trHeight w:val="930"/>
        </w:trPr>
        <w:tc>
          <w:tcPr>
            <w:tcW w:w="834" w:type="dxa"/>
            <w:vAlign w:val="center"/>
            <w:textDirection w:val="lrTb"/>
            <w:noWrap w:val="false"/>
          </w:tcPr>
          <w:p>
            <w:pPr>
              <w:jc w:val="center"/>
              <w:rPr>
                <w:color w:val="000000"/>
                <w:sz w:val="24"/>
              </w:rPr>
            </w:pPr>
            <w:r>
              <w:rPr>
                <w:color w:val="000000"/>
                <w:sz w:val="24"/>
              </w:rPr>
            </w:r>
            <w:r/>
          </w:p>
        </w:tc>
        <w:tc>
          <w:tcPr>
            <w:tcW w:w="1301" w:type="dxa"/>
            <w:vAlign w:val="center"/>
            <w:textDirection w:val="lrTb"/>
            <w:noWrap w:val="false"/>
          </w:tcPr>
          <w:p>
            <w:pPr>
              <w:jc w:val="center"/>
              <w:rPr>
                <w:color w:val="000000"/>
                <w:sz w:val="24"/>
              </w:rPr>
            </w:pPr>
            <w:r>
              <w:rPr>
                <w:color w:val="000000"/>
                <w:sz w:val="24"/>
              </w:rPr>
            </w:r>
            <w:r/>
          </w:p>
        </w:tc>
        <w:tc>
          <w:tcPr>
            <w:tcW w:w="2007" w:type="dxa"/>
            <w:vAlign w:val="center"/>
            <w:textDirection w:val="lrTb"/>
            <w:noWrap w:val="false"/>
          </w:tcPr>
          <w:p>
            <w:pPr>
              <w:jc w:val="center"/>
              <w:rPr>
                <w:color w:val="000000"/>
                <w:sz w:val="24"/>
              </w:rPr>
            </w:pPr>
            <w:r>
              <w:rPr>
                <w:color w:val="000000"/>
                <w:sz w:val="24"/>
              </w:rPr>
            </w:r>
            <w:r/>
          </w:p>
        </w:tc>
        <w:tc>
          <w:tcPr>
            <w:tcW w:w="2008" w:type="dxa"/>
            <w:vAlign w:val="center"/>
            <w:textDirection w:val="lrTb"/>
            <w:noWrap w:val="false"/>
          </w:tcPr>
          <w:p>
            <w:pPr>
              <w:jc w:val="center"/>
              <w:rPr>
                <w:color w:val="000000"/>
                <w:sz w:val="24"/>
              </w:rPr>
            </w:pPr>
            <w:r>
              <w:rPr>
                <w:color w:val="000000"/>
                <w:sz w:val="24"/>
              </w:rPr>
            </w:r>
            <w:r/>
          </w:p>
        </w:tc>
        <w:tc>
          <w:tcPr>
            <w:tcW w:w="2458" w:type="dxa"/>
            <w:vAlign w:val="center"/>
            <w:textDirection w:val="lrTb"/>
            <w:noWrap w:val="false"/>
          </w:tcPr>
          <w:p>
            <w:pPr>
              <w:jc w:val="center"/>
              <w:rPr>
                <w:color w:val="000000"/>
                <w:sz w:val="24"/>
              </w:rPr>
            </w:pPr>
            <w:r>
              <w:rPr>
                <w:color w:val="000000"/>
                <w:sz w:val="24"/>
              </w:rPr>
            </w:r>
            <w:r/>
          </w:p>
        </w:tc>
        <w:tc>
          <w:tcPr>
            <w:tcW w:w="788" w:type="dxa"/>
            <w:vAlign w:val="center"/>
            <w:textDirection w:val="lrTb"/>
            <w:noWrap w:val="false"/>
          </w:tcPr>
          <w:p>
            <w:pPr>
              <w:jc w:val="center"/>
              <w:rPr>
                <w:color w:val="000000"/>
                <w:sz w:val="24"/>
              </w:rPr>
            </w:pPr>
            <w:r>
              <w:rPr>
                <w:color w:val="000000"/>
                <w:sz w:val="24"/>
              </w:rPr>
            </w:r>
            <w:r/>
          </w:p>
        </w:tc>
      </w:tr>
      <w:tr>
        <w:trPr>
          <w:jc w:val="center"/>
          <w:trHeight w:val="930"/>
        </w:trPr>
        <w:tc>
          <w:tcPr>
            <w:tcW w:w="834" w:type="dxa"/>
            <w:vAlign w:val="center"/>
            <w:textDirection w:val="lrTb"/>
            <w:noWrap w:val="false"/>
          </w:tcPr>
          <w:p>
            <w:pPr>
              <w:jc w:val="center"/>
              <w:rPr>
                <w:color w:val="000000"/>
                <w:sz w:val="24"/>
              </w:rPr>
            </w:pPr>
            <w:r>
              <w:rPr>
                <w:color w:val="000000"/>
                <w:sz w:val="24"/>
              </w:rPr>
            </w:r>
            <w:r/>
          </w:p>
        </w:tc>
        <w:tc>
          <w:tcPr>
            <w:tcW w:w="1301" w:type="dxa"/>
            <w:vAlign w:val="center"/>
            <w:textDirection w:val="lrTb"/>
            <w:noWrap w:val="false"/>
          </w:tcPr>
          <w:p>
            <w:pPr>
              <w:jc w:val="center"/>
              <w:rPr>
                <w:color w:val="000000"/>
                <w:sz w:val="24"/>
              </w:rPr>
            </w:pPr>
            <w:r>
              <w:rPr>
                <w:color w:val="000000"/>
                <w:sz w:val="24"/>
              </w:rPr>
            </w:r>
            <w:r/>
          </w:p>
        </w:tc>
        <w:tc>
          <w:tcPr>
            <w:tcW w:w="2007" w:type="dxa"/>
            <w:vAlign w:val="center"/>
            <w:textDirection w:val="lrTb"/>
            <w:noWrap w:val="false"/>
          </w:tcPr>
          <w:p>
            <w:pPr>
              <w:jc w:val="center"/>
              <w:rPr>
                <w:color w:val="000000"/>
                <w:sz w:val="24"/>
              </w:rPr>
            </w:pPr>
            <w:r>
              <w:rPr>
                <w:color w:val="000000"/>
                <w:sz w:val="24"/>
              </w:rPr>
            </w:r>
            <w:r/>
          </w:p>
        </w:tc>
        <w:tc>
          <w:tcPr>
            <w:tcW w:w="2008" w:type="dxa"/>
            <w:vAlign w:val="center"/>
            <w:textDirection w:val="lrTb"/>
            <w:noWrap w:val="false"/>
          </w:tcPr>
          <w:p>
            <w:pPr>
              <w:jc w:val="center"/>
              <w:rPr>
                <w:color w:val="000000"/>
                <w:sz w:val="24"/>
              </w:rPr>
            </w:pPr>
            <w:r>
              <w:rPr>
                <w:color w:val="000000"/>
                <w:sz w:val="24"/>
              </w:rPr>
            </w:r>
            <w:r/>
          </w:p>
        </w:tc>
        <w:tc>
          <w:tcPr>
            <w:tcW w:w="2458" w:type="dxa"/>
            <w:vAlign w:val="center"/>
            <w:textDirection w:val="lrTb"/>
            <w:noWrap w:val="false"/>
          </w:tcPr>
          <w:p>
            <w:pPr>
              <w:jc w:val="center"/>
              <w:rPr>
                <w:color w:val="000000"/>
                <w:sz w:val="24"/>
              </w:rPr>
            </w:pPr>
            <w:r>
              <w:rPr>
                <w:color w:val="000000"/>
                <w:sz w:val="24"/>
              </w:rPr>
            </w:r>
            <w:r/>
          </w:p>
        </w:tc>
        <w:tc>
          <w:tcPr>
            <w:tcW w:w="788" w:type="dxa"/>
            <w:vAlign w:val="center"/>
            <w:textDirection w:val="lrTb"/>
            <w:noWrap w:val="false"/>
          </w:tcPr>
          <w:p>
            <w:pPr>
              <w:jc w:val="center"/>
              <w:rPr>
                <w:color w:val="000000"/>
                <w:sz w:val="24"/>
              </w:rPr>
            </w:pPr>
            <w:r>
              <w:rPr>
                <w:color w:val="000000"/>
                <w:sz w:val="24"/>
              </w:rPr>
            </w:r>
            <w:r/>
          </w:p>
        </w:tc>
      </w:tr>
      <w:tr>
        <w:trPr>
          <w:jc w:val="center"/>
          <w:trHeight w:val="930"/>
        </w:trPr>
        <w:tc>
          <w:tcPr>
            <w:tcW w:w="834" w:type="dxa"/>
            <w:vAlign w:val="center"/>
            <w:textDirection w:val="lrTb"/>
            <w:noWrap w:val="false"/>
          </w:tcPr>
          <w:p>
            <w:pPr>
              <w:jc w:val="center"/>
              <w:rPr>
                <w:color w:val="000000"/>
                <w:sz w:val="24"/>
              </w:rPr>
            </w:pPr>
            <w:r>
              <w:rPr>
                <w:color w:val="000000"/>
                <w:sz w:val="24"/>
              </w:rPr>
            </w:r>
            <w:r/>
          </w:p>
        </w:tc>
        <w:tc>
          <w:tcPr>
            <w:tcW w:w="1301" w:type="dxa"/>
            <w:vAlign w:val="center"/>
            <w:textDirection w:val="lrTb"/>
            <w:noWrap w:val="false"/>
          </w:tcPr>
          <w:p>
            <w:pPr>
              <w:jc w:val="center"/>
              <w:rPr>
                <w:color w:val="000000"/>
                <w:sz w:val="24"/>
              </w:rPr>
            </w:pPr>
            <w:r>
              <w:rPr>
                <w:color w:val="000000"/>
                <w:sz w:val="24"/>
              </w:rPr>
            </w:r>
            <w:r/>
          </w:p>
        </w:tc>
        <w:tc>
          <w:tcPr>
            <w:tcW w:w="2007" w:type="dxa"/>
            <w:vAlign w:val="center"/>
            <w:textDirection w:val="lrTb"/>
            <w:noWrap w:val="false"/>
          </w:tcPr>
          <w:p>
            <w:pPr>
              <w:jc w:val="center"/>
              <w:rPr>
                <w:color w:val="000000"/>
                <w:sz w:val="24"/>
              </w:rPr>
            </w:pPr>
            <w:r>
              <w:rPr>
                <w:color w:val="000000"/>
                <w:sz w:val="24"/>
              </w:rPr>
            </w:r>
            <w:r/>
          </w:p>
        </w:tc>
        <w:tc>
          <w:tcPr>
            <w:tcW w:w="2008" w:type="dxa"/>
            <w:vAlign w:val="center"/>
            <w:textDirection w:val="lrTb"/>
            <w:noWrap w:val="false"/>
          </w:tcPr>
          <w:p>
            <w:pPr>
              <w:jc w:val="center"/>
              <w:rPr>
                <w:color w:val="000000"/>
                <w:sz w:val="24"/>
              </w:rPr>
            </w:pPr>
            <w:r>
              <w:rPr>
                <w:color w:val="000000"/>
                <w:sz w:val="24"/>
              </w:rPr>
            </w:r>
            <w:r/>
          </w:p>
        </w:tc>
        <w:tc>
          <w:tcPr>
            <w:tcW w:w="2458" w:type="dxa"/>
            <w:vAlign w:val="center"/>
            <w:textDirection w:val="lrTb"/>
            <w:noWrap w:val="false"/>
          </w:tcPr>
          <w:p>
            <w:pPr>
              <w:jc w:val="center"/>
              <w:rPr>
                <w:color w:val="000000"/>
                <w:sz w:val="24"/>
              </w:rPr>
            </w:pPr>
            <w:r>
              <w:rPr>
                <w:color w:val="000000"/>
                <w:sz w:val="24"/>
              </w:rPr>
            </w:r>
            <w:r/>
          </w:p>
        </w:tc>
        <w:tc>
          <w:tcPr>
            <w:tcW w:w="788" w:type="dxa"/>
            <w:vAlign w:val="center"/>
            <w:textDirection w:val="lrTb"/>
            <w:noWrap w:val="false"/>
          </w:tcPr>
          <w:p>
            <w:pPr>
              <w:jc w:val="center"/>
              <w:rPr>
                <w:color w:val="000000"/>
                <w:sz w:val="24"/>
              </w:rPr>
            </w:pPr>
            <w:r>
              <w:rPr>
                <w:color w:val="000000"/>
                <w:sz w:val="24"/>
              </w:rPr>
            </w:r>
            <w:r/>
          </w:p>
        </w:tc>
      </w:tr>
    </w:tbl>
    <w:p>
      <w:pPr>
        <w:jc w:val="left"/>
        <w:tabs>
          <w:tab w:val="left" w:pos="1800" w:leader="none"/>
          <w:tab w:val="left" w:pos="5580" w:leader="none"/>
        </w:tabs>
        <w:rPr>
          <w:color w:val="000000"/>
          <w:sz w:val="24"/>
        </w:rPr>
      </w:pPr>
      <w:r>
        <w:rPr>
          <w:color w:val="000000"/>
          <w:sz w:val="24"/>
        </w:rPr>
      </w:r>
      <w:r/>
    </w:p>
    <w:p>
      <w:pPr>
        <w:jc w:val="left"/>
        <w:tabs>
          <w:tab w:val="left" w:pos="1800" w:leader="none"/>
          <w:tab w:val="left" w:pos="5580" w:leader="none"/>
        </w:tabs>
        <w:rPr>
          <w:color w:val="000000"/>
          <w:sz w:val="24"/>
        </w:rPr>
      </w:pPr>
      <w:r>
        <w:rPr>
          <w:rFonts w:hint="eastAsia"/>
          <w:color w:val="000000"/>
          <w:sz w:val="24"/>
        </w:rPr>
        <w:t xml:space="preserve">注：</w:t>
      </w:r>
      <w:r/>
    </w:p>
    <w:p>
      <w:pPr>
        <w:jc w:val="left"/>
        <w:tabs>
          <w:tab w:val="left" w:pos="1800" w:leader="none"/>
          <w:tab w:val="left" w:pos="5580" w:leader="none"/>
        </w:tabs>
        <w:rPr>
          <w:sz w:val="24"/>
        </w:rPr>
      </w:pPr>
      <w:r>
        <w:rPr>
          <w:color w:val="000000"/>
          <w:sz w:val="24"/>
        </w:rPr>
        <w:t xml:space="preserve">1. </w:t>
      </w:r>
      <w:r>
        <w:rPr>
          <w:rFonts w:hint="eastAsia"/>
          <w:sz w:val="24"/>
        </w:rPr>
        <w:t xml:space="preserve">对合同条款中的所有要求，除本表所列明的所有偏离外，均视作供应商已对之理解和响应。</w:t>
      </w:r>
      <w:r/>
    </w:p>
    <w:p>
      <w:pPr>
        <w:jc w:val="left"/>
        <w:tabs>
          <w:tab w:val="left" w:pos="1800" w:leader="none"/>
          <w:tab w:val="left" w:pos="5580" w:leader="none"/>
        </w:tabs>
        <w:rPr>
          <w:color w:val="000000"/>
          <w:sz w:val="24"/>
        </w:rPr>
      </w:pPr>
      <w:r>
        <w:rPr>
          <w:sz w:val="24"/>
        </w:rPr>
        <w:t xml:space="preserve">2. </w:t>
      </w:r>
      <w:r>
        <w:rPr>
          <w:rFonts w:hint="eastAsia"/>
          <w:sz w:val="24"/>
        </w:rPr>
        <w:t xml:space="preserve">“偏离情况”列应</w:t>
      </w:r>
      <w:r>
        <w:rPr>
          <w:rFonts w:hint="eastAsia"/>
          <w:color w:val="000000"/>
          <w:sz w:val="24"/>
        </w:rPr>
        <w:t xml:space="preserve">据实</w:t>
      </w:r>
      <w:r>
        <w:rPr>
          <w:rFonts w:hint="eastAsia"/>
          <w:sz w:val="24"/>
        </w:rPr>
        <w:t xml:space="preserve">填写“正偏离”或“负偏离”。</w:t>
      </w:r>
      <w:r/>
    </w:p>
    <w:p>
      <w:pPr>
        <w:spacing w:line="360" w:lineRule="auto"/>
        <w:rPr>
          <w:color w:val="000000"/>
          <w:sz w:val="24"/>
          <w:szCs w:val="20"/>
        </w:rPr>
      </w:pPr>
      <w:r>
        <w:rPr>
          <w:color w:val="000000"/>
          <w:sz w:val="24"/>
          <w:szCs w:val="20"/>
        </w:rPr>
      </w:r>
      <w:r/>
    </w:p>
    <w:p>
      <w:pPr>
        <w:spacing w:before="25" w:after="25" w:line="360" w:lineRule="auto"/>
        <w:rPr>
          <w:color w:val="000000"/>
          <w:sz w:val="24"/>
          <w:lang w:val="zh-CN"/>
        </w:rPr>
      </w:pPr>
      <w:r>
        <w:rPr>
          <w:color w:val="000000"/>
          <w:sz w:val="24"/>
          <w:lang w:val="zh-CN"/>
        </w:rPr>
        <w:t xml:space="preserve">                      </w:t>
      </w:r>
      <w:r/>
    </w:p>
    <w:p>
      <w:pPr>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p>
    <w:p>
      <w:pPr>
        <w:spacing w:before="25" w:after="25" w:line="360" w:lineRule="auto"/>
        <w:rPr>
          <w:color w:val="000000"/>
          <w:sz w:val="24"/>
          <w:lang w:val="zh-CN"/>
        </w:rPr>
      </w:pPr>
      <w:r>
        <w:rPr>
          <w:color w:val="000000"/>
          <w:sz w:val="24"/>
          <w:szCs w:val="20"/>
        </w:rPr>
        <w:t xml:space="preserve">日期：_____年______月______日   </w:t>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color w:val="000000"/>
          <w:sz w:val="24"/>
          <w:szCs w:val="20"/>
        </w:rPr>
        <w:outlineLvl w:val="2"/>
      </w:pPr>
      <w:r>
        <w:rPr>
          <w:rFonts w:hint="eastAsia"/>
          <w:color w:val="000000"/>
          <w:sz w:val="24"/>
          <w:szCs w:val="20"/>
          <w:lang w:val="en-US" w:eastAsia="zh-CN"/>
        </w:rPr>
        <w:t xml:space="preserve">10</w:t>
      </w:r>
      <w:r>
        <w:rPr>
          <w:color w:val="000000"/>
          <w:sz w:val="24"/>
          <w:szCs w:val="20"/>
        </w:rPr>
        <w:t xml:space="preserve"> </w:t>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rPr>
          <w:color w:val="000000"/>
          <w:sz w:val="24"/>
          <w:szCs w:val="20"/>
        </w:rPr>
        <w:t xml:space="preserve">采购需求偏离表</w:t>
      </w:r>
      <w:r/>
    </w:p>
    <w:p>
      <w:pPr>
        <w:jc w:val="center"/>
        <w:rPr>
          <w:b/>
          <w:color w:val="000000"/>
          <w:sz w:val="36"/>
          <w:szCs w:val="36"/>
        </w:rPr>
      </w:pPr>
      <w:r>
        <w:rPr>
          <w:rFonts w:hint="eastAsia"/>
          <w:b/>
          <w:color w:val="000000"/>
          <w:sz w:val="36"/>
          <w:szCs w:val="36"/>
        </w:rPr>
        <w:t xml:space="preserve">采购需求偏离表</w:t>
      </w:r>
      <w:r/>
    </w:p>
    <w:p>
      <w:pPr>
        <w:jc w:val="center"/>
        <w:rPr>
          <w:color w:val="000000"/>
          <w:sz w:val="36"/>
          <w:szCs w:val="36"/>
        </w:rPr>
      </w:pPr>
      <w:r>
        <w:rPr>
          <w:color w:val="000000"/>
          <w:sz w:val="36"/>
          <w:szCs w:val="36"/>
        </w:rPr>
      </w:r>
      <w:r/>
    </w:p>
    <w:p>
      <w:pPr>
        <w:ind w:firstLine="36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  项目名称：_______________________</w:t>
      </w:r>
      <w:r/>
    </w:p>
    <w:tbl>
      <w:tblPr>
        <w:tblStyle w:val="855"/>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color w:val="000000"/>
                <w:sz w:val="24"/>
              </w:rPr>
            </w:pPr>
            <w:r>
              <w:rPr>
                <w:color w:val="000000"/>
                <w:sz w:val="24"/>
              </w:rPr>
              <w:t xml:space="preserve">序号</w:t>
            </w:r>
            <w:r/>
          </w:p>
        </w:tc>
        <w:tc>
          <w:tcPr>
            <w:tcW w:w="1482" w:type="dxa"/>
            <w:vAlign w:val="center"/>
            <w:textDirection w:val="lrTb"/>
            <w:noWrap w:val="false"/>
          </w:tcPr>
          <w:p>
            <w:pPr>
              <w:jc w:val="center"/>
              <w:rPr>
                <w:color w:val="000000"/>
                <w:sz w:val="24"/>
              </w:rPr>
            </w:pPr>
            <w:r>
              <w:rPr>
                <w:color w:val="000000"/>
                <w:sz w:val="24"/>
              </w:rPr>
              <w:t xml:space="preserve">磋商文件条目号(页码)</w:t>
            </w:r>
            <w:r/>
          </w:p>
        </w:tc>
        <w:tc>
          <w:tcPr>
            <w:tcW w:w="2384" w:type="dxa"/>
            <w:vAlign w:val="center"/>
            <w:textDirection w:val="lrTb"/>
            <w:noWrap w:val="false"/>
          </w:tcPr>
          <w:p>
            <w:pPr>
              <w:jc w:val="center"/>
              <w:rPr>
                <w:color w:val="000000"/>
                <w:sz w:val="24"/>
              </w:rPr>
            </w:pPr>
            <w:r>
              <w:rPr>
                <w:color w:val="000000"/>
                <w:sz w:val="24"/>
              </w:rPr>
              <w:t xml:space="preserve">磋商文件要求</w:t>
            </w:r>
            <w:r/>
          </w:p>
        </w:tc>
        <w:tc>
          <w:tcPr>
            <w:tcW w:w="2126" w:type="dxa"/>
            <w:vAlign w:val="center"/>
            <w:textDirection w:val="lrTb"/>
            <w:noWrap w:val="false"/>
          </w:tcPr>
          <w:p>
            <w:pPr>
              <w:jc w:val="center"/>
              <w:rPr>
                <w:color w:val="000000"/>
                <w:sz w:val="24"/>
              </w:rPr>
            </w:pPr>
            <w:r>
              <w:rPr>
                <w:color w:val="000000"/>
                <w:sz w:val="24"/>
              </w:rPr>
              <w:t xml:space="preserve">响应内容</w:t>
            </w:r>
            <w:r/>
          </w:p>
        </w:tc>
        <w:tc>
          <w:tcPr>
            <w:tcW w:w="1875" w:type="dxa"/>
            <w:vAlign w:val="center"/>
            <w:textDirection w:val="lrTb"/>
            <w:noWrap w:val="false"/>
          </w:tcPr>
          <w:p>
            <w:pPr>
              <w:jc w:val="center"/>
              <w:rPr>
                <w:color w:val="000000"/>
                <w:sz w:val="24"/>
              </w:rPr>
            </w:pPr>
            <w:r>
              <w:rPr>
                <w:color w:val="000000"/>
                <w:sz w:val="24"/>
              </w:rPr>
              <w:t xml:space="preserve">偏离情况</w:t>
            </w:r>
            <w:r/>
          </w:p>
          <w:p>
            <w:pPr>
              <w:jc w:val="center"/>
              <w:rPr>
                <w:color w:val="000000"/>
                <w:sz w:val="24"/>
              </w:rPr>
            </w:pPr>
            <w:r>
              <w:rPr>
                <w:color w:val="000000"/>
                <w:sz w:val="24"/>
                <w:szCs w:val="21"/>
              </w:rPr>
              <w:t xml:space="preserve">（据实填写）</w:t>
            </w:r>
            <w:r/>
          </w:p>
        </w:tc>
        <w:tc>
          <w:tcPr>
            <w:tcW w:w="1009" w:type="dxa"/>
            <w:vAlign w:val="center"/>
            <w:textDirection w:val="lrTb"/>
            <w:noWrap w:val="false"/>
          </w:tcPr>
          <w:p>
            <w:pPr>
              <w:jc w:val="center"/>
              <w:rPr>
                <w:color w:val="000000"/>
                <w:sz w:val="24"/>
              </w:rPr>
            </w:pPr>
            <w:r>
              <w:rPr>
                <w:color w:val="000000"/>
                <w:sz w:val="24"/>
              </w:rPr>
              <w:t xml:space="preserve">说明</w:t>
            </w:r>
            <w:r/>
          </w:p>
        </w:tc>
      </w:tr>
      <w:tr>
        <w:trPr>
          <w:jc w:val="center"/>
          <w:trHeight w:val="930"/>
        </w:trPr>
        <w:tc>
          <w:tcPr>
            <w:tcW w:w="775" w:type="dxa"/>
            <w:vAlign w:val="center"/>
            <w:textDirection w:val="lrTb"/>
            <w:noWrap w:val="false"/>
          </w:tcPr>
          <w:p>
            <w:pPr>
              <w:jc w:val="center"/>
              <w:rPr>
                <w:color w:val="000000"/>
                <w:sz w:val="24"/>
              </w:rPr>
            </w:pPr>
            <w:r>
              <w:rPr>
                <w:color w:val="000000"/>
                <w:sz w:val="24"/>
              </w:rPr>
            </w:r>
            <w:r/>
          </w:p>
        </w:tc>
        <w:tc>
          <w:tcPr>
            <w:tcW w:w="1482" w:type="dxa"/>
            <w:vAlign w:val="center"/>
            <w:textDirection w:val="lrTb"/>
            <w:noWrap w:val="false"/>
          </w:tcPr>
          <w:p>
            <w:pPr>
              <w:jc w:val="center"/>
              <w:rPr>
                <w:color w:val="000000"/>
                <w:sz w:val="24"/>
              </w:rPr>
            </w:pPr>
            <w:r>
              <w:rPr>
                <w:color w:val="000000"/>
                <w:sz w:val="24"/>
              </w:rPr>
            </w:r>
            <w:r/>
          </w:p>
        </w:tc>
        <w:tc>
          <w:tcPr>
            <w:tcW w:w="2384" w:type="dxa"/>
            <w:vAlign w:val="center"/>
            <w:textDirection w:val="lrTb"/>
            <w:noWrap w:val="false"/>
          </w:tcPr>
          <w:p>
            <w:pPr>
              <w:jc w:val="center"/>
              <w:rPr>
                <w:color w:val="000000"/>
                <w:sz w:val="24"/>
              </w:rPr>
            </w:pPr>
            <w:r>
              <w:rPr>
                <w:color w:val="000000"/>
                <w:sz w:val="24"/>
              </w:rPr>
            </w:r>
            <w:r/>
          </w:p>
        </w:tc>
        <w:tc>
          <w:tcPr>
            <w:tcW w:w="2126"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009" w:type="dxa"/>
            <w:vAlign w:val="center"/>
            <w:textDirection w:val="lrTb"/>
            <w:noWrap w:val="false"/>
          </w:tcPr>
          <w:p>
            <w:pPr>
              <w:jc w:val="center"/>
              <w:rPr>
                <w:color w:val="000000"/>
                <w:sz w:val="24"/>
              </w:rPr>
            </w:pPr>
            <w:r>
              <w:rPr>
                <w:color w:val="000000"/>
                <w:sz w:val="24"/>
              </w:rPr>
            </w:r>
            <w:r/>
          </w:p>
        </w:tc>
      </w:tr>
      <w:tr>
        <w:trPr>
          <w:jc w:val="center"/>
          <w:trHeight w:val="930"/>
        </w:trPr>
        <w:tc>
          <w:tcPr>
            <w:tcW w:w="775" w:type="dxa"/>
            <w:vAlign w:val="center"/>
            <w:textDirection w:val="lrTb"/>
            <w:noWrap w:val="false"/>
          </w:tcPr>
          <w:p>
            <w:pPr>
              <w:jc w:val="center"/>
              <w:rPr>
                <w:color w:val="000000"/>
                <w:sz w:val="24"/>
              </w:rPr>
            </w:pPr>
            <w:r>
              <w:rPr>
                <w:color w:val="000000"/>
                <w:sz w:val="24"/>
              </w:rPr>
            </w:r>
            <w:r/>
          </w:p>
        </w:tc>
        <w:tc>
          <w:tcPr>
            <w:tcW w:w="1482" w:type="dxa"/>
            <w:vAlign w:val="center"/>
            <w:textDirection w:val="lrTb"/>
            <w:noWrap w:val="false"/>
          </w:tcPr>
          <w:p>
            <w:pPr>
              <w:jc w:val="center"/>
              <w:rPr>
                <w:color w:val="000000"/>
                <w:sz w:val="24"/>
              </w:rPr>
            </w:pPr>
            <w:r>
              <w:rPr>
                <w:color w:val="000000"/>
                <w:sz w:val="24"/>
              </w:rPr>
            </w:r>
            <w:r/>
          </w:p>
        </w:tc>
        <w:tc>
          <w:tcPr>
            <w:tcW w:w="2384" w:type="dxa"/>
            <w:vAlign w:val="center"/>
            <w:textDirection w:val="lrTb"/>
            <w:noWrap w:val="false"/>
          </w:tcPr>
          <w:p>
            <w:pPr>
              <w:jc w:val="center"/>
              <w:rPr>
                <w:color w:val="000000"/>
                <w:sz w:val="24"/>
              </w:rPr>
            </w:pPr>
            <w:r>
              <w:rPr>
                <w:color w:val="000000"/>
                <w:sz w:val="24"/>
              </w:rPr>
            </w:r>
            <w:r/>
          </w:p>
        </w:tc>
        <w:tc>
          <w:tcPr>
            <w:tcW w:w="2126"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009" w:type="dxa"/>
            <w:vAlign w:val="center"/>
            <w:textDirection w:val="lrTb"/>
            <w:noWrap w:val="false"/>
          </w:tcPr>
          <w:p>
            <w:pPr>
              <w:jc w:val="center"/>
              <w:rPr>
                <w:color w:val="000000"/>
                <w:sz w:val="24"/>
              </w:rPr>
            </w:pPr>
            <w:r>
              <w:rPr>
                <w:color w:val="000000"/>
                <w:sz w:val="24"/>
              </w:rPr>
            </w:r>
            <w:r/>
          </w:p>
        </w:tc>
      </w:tr>
      <w:tr>
        <w:trPr>
          <w:jc w:val="center"/>
          <w:trHeight w:val="930"/>
        </w:trPr>
        <w:tc>
          <w:tcPr>
            <w:tcW w:w="775" w:type="dxa"/>
            <w:vAlign w:val="center"/>
            <w:textDirection w:val="lrTb"/>
            <w:noWrap w:val="false"/>
          </w:tcPr>
          <w:p>
            <w:pPr>
              <w:jc w:val="center"/>
              <w:rPr>
                <w:color w:val="000000"/>
                <w:sz w:val="24"/>
              </w:rPr>
            </w:pPr>
            <w:r>
              <w:rPr>
                <w:color w:val="000000"/>
                <w:sz w:val="24"/>
              </w:rPr>
            </w:r>
            <w:r/>
          </w:p>
        </w:tc>
        <w:tc>
          <w:tcPr>
            <w:tcW w:w="1482" w:type="dxa"/>
            <w:vAlign w:val="center"/>
            <w:textDirection w:val="lrTb"/>
            <w:noWrap w:val="false"/>
          </w:tcPr>
          <w:p>
            <w:pPr>
              <w:jc w:val="center"/>
              <w:rPr>
                <w:color w:val="000000"/>
                <w:sz w:val="24"/>
              </w:rPr>
            </w:pPr>
            <w:r>
              <w:rPr>
                <w:color w:val="000000"/>
                <w:sz w:val="24"/>
              </w:rPr>
            </w:r>
            <w:r/>
          </w:p>
        </w:tc>
        <w:tc>
          <w:tcPr>
            <w:tcW w:w="2384" w:type="dxa"/>
            <w:vAlign w:val="center"/>
            <w:textDirection w:val="lrTb"/>
            <w:noWrap w:val="false"/>
          </w:tcPr>
          <w:p>
            <w:pPr>
              <w:jc w:val="center"/>
              <w:rPr>
                <w:color w:val="000000"/>
                <w:sz w:val="24"/>
              </w:rPr>
            </w:pPr>
            <w:r>
              <w:rPr>
                <w:color w:val="000000"/>
                <w:sz w:val="24"/>
              </w:rPr>
            </w:r>
            <w:r/>
          </w:p>
        </w:tc>
        <w:tc>
          <w:tcPr>
            <w:tcW w:w="2126"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009" w:type="dxa"/>
            <w:vAlign w:val="center"/>
            <w:textDirection w:val="lrTb"/>
            <w:noWrap w:val="false"/>
          </w:tcPr>
          <w:p>
            <w:pPr>
              <w:jc w:val="center"/>
              <w:rPr>
                <w:color w:val="000000"/>
                <w:sz w:val="24"/>
              </w:rPr>
            </w:pPr>
            <w:r>
              <w:rPr>
                <w:color w:val="000000"/>
                <w:sz w:val="24"/>
              </w:rPr>
            </w:r>
            <w:r/>
          </w:p>
        </w:tc>
      </w:tr>
      <w:tr>
        <w:trPr>
          <w:jc w:val="center"/>
          <w:trHeight w:val="930"/>
        </w:trPr>
        <w:tc>
          <w:tcPr>
            <w:tcW w:w="775" w:type="dxa"/>
            <w:vAlign w:val="center"/>
            <w:textDirection w:val="lrTb"/>
            <w:noWrap w:val="false"/>
          </w:tcPr>
          <w:p>
            <w:pPr>
              <w:jc w:val="center"/>
              <w:rPr>
                <w:color w:val="000000"/>
                <w:sz w:val="24"/>
              </w:rPr>
            </w:pPr>
            <w:r>
              <w:rPr>
                <w:color w:val="000000"/>
                <w:sz w:val="24"/>
              </w:rPr>
            </w:r>
            <w:r/>
          </w:p>
        </w:tc>
        <w:tc>
          <w:tcPr>
            <w:tcW w:w="1482" w:type="dxa"/>
            <w:vAlign w:val="center"/>
            <w:textDirection w:val="lrTb"/>
            <w:noWrap w:val="false"/>
          </w:tcPr>
          <w:p>
            <w:pPr>
              <w:jc w:val="center"/>
              <w:rPr>
                <w:color w:val="000000"/>
                <w:sz w:val="24"/>
              </w:rPr>
            </w:pPr>
            <w:r>
              <w:rPr>
                <w:color w:val="000000"/>
                <w:sz w:val="24"/>
              </w:rPr>
            </w:r>
            <w:r/>
          </w:p>
        </w:tc>
        <w:tc>
          <w:tcPr>
            <w:tcW w:w="2384" w:type="dxa"/>
            <w:vAlign w:val="center"/>
            <w:textDirection w:val="lrTb"/>
            <w:noWrap w:val="false"/>
          </w:tcPr>
          <w:p>
            <w:pPr>
              <w:jc w:val="center"/>
              <w:rPr>
                <w:color w:val="000000"/>
                <w:sz w:val="24"/>
              </w:rPr>
            </w:pPr>
            <w:r>
              <w:rPr>
                <w:color w:val="000000"/>
                <w:sz w:val="24"/>
              </w:rPr>
            </w:r>
            <w:r/>
          </w:p>
        </w:tc>
        <w:tc>
          <w:tcPr>
            <w:tcW w:w="2126"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009" w:type="dxa"/>
            <w:vAlign w:val="center"/>
            <w:textDirection w:val="lrTb"/>
            <w:noWrap w:val="false"/>
          </w:tcPr>
          <w:p>
            <w:pPr>
              <w:jc w:val="center"/>
              <w:rPr>
                <w:color w:val="000000"/>
                <w:sz w:val="24"/>
              </w:rPr>
            </w:pPr>
            <w:r>
              <w:rPr>
                <w:color w:val="000000"/>
                <w:sz w:val="24"/>
              </w:rPr>
            </w:r>
            <w:r/>
          </w:p>
        </w:tc>
      </w:tr>
      <w:tr>
        <w:trPr>
          <w:jc w:val="center"/>
          <w:trHeight w:val="930"/>
        </w:trPr>
        <w:tc>
          <w:tcPr>
            <w:tcW w:w="775" w:type="dxa"/>
            <w:vAlign w:val="center"/>
            <w:textDirection w:val="lrTb"/>
            <w:noWrap w:val="false"/>
          </w:tcPr>
          <w:p>
            <w:pPr>
              <w:jc w:val="center"/>
              <w:rPr>
                <w:color w:val="000000"/>
                <w:sz w:val="24"/>
              </w:rPr>
            </w:pPr>
            <w:r>
              <w:rPr>
                <w:color w:val="000000"/>
                <w:sz w:val="24"/>
              </w:rPr>
            </w:r>
            <w:r/>
          </w:p>
        </w:tc>
        <w:tc>
          <w:tcPr>
            <w:tcW w:w="1482" w:type="dxa"/>
            <w:vAlign w:val="center"/>
            <w:textDirection w:val="lrTb"/>
            <w:noWrap w:val="false"/>
          </w:tcPr>
          <w:p>
            <w:pPr>
              <w:jc w:val="center"/>
              <w:rPr>
                <w:color w:val="000000"/>
                <w:sz w:val="24"/>
              </w:rPr>
            </w:pPr>
            <w:r>
              <w:rPr>
                <w:color w:val="000000"/>
                <w:sz w:val="24"/>
              </w:rPr>
            </w:r>
            <w:r/>
          </w:p>
        </w:tc>
        <w:tc>
          <w:tcPr>
            <w:tcW w:w="2384" w:type="dxa"/>
            <w:vAlign w:val="center"/>
            <w:textDirection w:val="lrTb"/>
            <w:noWrap w:val="false"/>
          </w:tcPr>
          <w:p>
            <w:pPr>
              <w:jc w:val="center"/>
              <w:rPr>
                <w:color w:val="000000"/>
                <w:sz w:val="24"/>
              </w:rPr>
            </w:pPr>
            <w:r>
              <w:rPr>
                <w:color w:val="000000"/>
                <w:sz w:val="24"/>
              </w:rPr>
            </w:r>
            <w:r/>
          </w:p>
        </w:tc>
        <w:tc>
          <w:tcPr>
            <w:tcW w:w="2126"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009" w:type="dxa"/>
            <w:vAlign w:val="center"/>
            <w:textDirection w:val="lrTb"/>
            <w:noWrap w:val="false"/>
          </w:tcPr>
          <w:p>
            <w:pPr>
              <w:jc w:val="center"/>
              <w:rPr>
                <w:color w:val="000000"/>
                <w:sz w:val="24"/>
              </w:rPr>
            </w:pPr>
            <w:r>
              <w:rPr>
                <w:color w:val="000000"/>
                <w:sz w:val="24"/>
              </w:rPr>
            </w:r>
            <w:r/>
          </w:p>
        </w:tc>
      </w:tr>
      <w:tr>
        <w:trPr>
          <w:jc w:val="center"/>
          <w:trHeight w:val="930"/>
        </w:trPr>
        <w:tc>
          <w:tcPr>
            <w:tcW w:w="775" w:type="dxa"/>
            <w:vAlign w:val="center"/>
            <w:textDirection w:val="lrTb"/>
            <w:noWrap w:val="false"/>
          </w:tcPr>
          <w:p>
            <w:pPr>
              <w:jc w:val="center"/>
              <w:rPr>
                <w:color w:val="000000"/>
                <w:sz w:val="24"/>
              </w:rPr>
            </w:pPr>
            <w:r>
              <w:rPr>
                <w:color w:val="000000"/>
                <w:sz w:val="24"/>
              </w:rPr>
            </w:r>
            <w:r/>
          </w:p>
        </w:tc>
        <w:tc>
          <w:tcPr>
            <w:tcW w:w="1482" w:type="dxa"/>
            <w:vAlign w:val="center"/>
            <w:textDirection w:val="lrTb"/>
            <w:noWrap w:val="false"/>
          </w:tcPr>
          <w:p>
            <w:pPr>
              <w:jc w:val="center"/>
              <w:rPr>
                <w:color w:val="000000"/>
                <w:sz w:val="24"/>
              </w:rPr>
            </w:pPr>
            <w:r>
              <w:rPr>
                <w:color w:val="000000"/>
                <w:sz w:val="24"/>
              </w:rPr>
            </w:r>
            <w:r/>
          </w:p>
        </w:tc>
        <w:tc>
          <w:tcPr>
            <w:tcW w:w="2384" w:type="dxa"/>
            <w:vAlign w:val="center"/>
            <w:textDirection w:val="lrTb"/>
            <w:noWrap w:val="false"/>
          </w:tcPr>
          <w:p>
            <w:pPr>
              <w:jc w:val="center"/>
              <w:rPr>
                <w:color w:val="000000"/>
                <w:sz w:val="24"/>
              </w:rPr>
            </w:pPr>
            <w:r>
              <w:rPr>
                <w:color w:val="000000"/>
                <w:sz w:val="24"/>
              </w:rPr>
            </w:r>
            <w:r/>
          </w:p>
        </w:tc>
        <w:tc>
          <w:tcPr>
            <w:tcW w:w="2126"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009" w:type="dxa"/>
            <w:vAlign w:val="center"/>
            <w:textDirection w:val="lrTb"/>
            <w:noWrap w:val="false"/>
          </w:tcPr>
          <w:p>
            <w:pPr>
              <w:jc w:val="center"/>
              <w:rPr>
                <w:color w:val="000000"/>
                <w:sz w:val="24"/>
              </w:rPr>
            </w:pPr>
            <w:r>
              <w:rPr>
                <w:color w:val="000000"/>
                <w:sz w:val="24"/>
              </w:rPr>
            </w:r>
            <w:r/>
          </w:p>
        </w:tc>
      </w:tr>
    </w:tbl>
    <w:p>
      <w:pPr>
        <w:ind w:firstLine="360"/>
        <w:jc w:val="left"/>
        <w:spacing w:line="360" w:lineRule="auto"/>
        <w:tabs>
          <w:tab w:val="left" w:pos="1800" w:leader="none"/>
          <w:tab w:val="left" w:pos="5580" w:leader="none"/>
        </w:tabs>
        <w:rPr>
          <w:color w:val="000000"/>
          <w:sz w:val="24"/>
          <w:u w:val="single"/>
        </w:rPr>
      </w:pPr>
      <w:r>
        <w:rPr>
          <w:color w:val="000000"/>
          <w:sz w:val="24"/>
          <w:u w:val="single"/>
        </w:rPr>
      </w:r>
      <w:r/>
    </w:p>
    <w:p>
      <w:pPr>
        <w:ind w:firstLine="360"/>
        <w:jc w:val="left"/>
        <w:spacing w:line="360" w:lineRule="auto"/>
        <w:tabs>
          <w:tab w:val="left" w:pos="1800" w:leader="none"/>
          <w:tab w:val="left" w:pos="5580" w:leader="none"/>
        </w:tabs>
        <w:rPr>
          <w:color w:val="000000"/>
          <w:sz w:val="24"/>
          <w:u w:val="single"/>
        </w:rPr>
      </w:pPr>
      <w:r>
        <w:rPr>
          <w:color w:val="000000"/>
          <w:sz w:val="24"/>
          <w:u w:val="single"/>
        </w:rPr>
      </w:r>
      <w:r/>
    </w:p>
    <w:p>
      <w:pPr>
        <w:jc w:val="left"/>
        <w:tabs>
          <w:tab w:val="left" w:pos="1800" w:leader="none"/>
          <w:tab w:val="left" w:pos="5580" w:leader="none"/>
        </w:tabs>
        <w:rPr>
          <w:color w:val="000000"/>
          <w:sz w:val="24"/>
        </w:rPr>
      </w:pPr>
      <w:r>
        <w:rPr>
          <w:color w:val="000000"/>
          <w:sz w:val="24"/>
        </w:rPr>
        <w:t xml:space="preserve">注：</w:t>
      </w:r>
      <w:r/>
    </w:p>
    <w:p>
      <w:pPr>
        <w:jc w:val="left"/>
        <w:tabs>
          <w:tab w:val="left" w:pos="1800" w:leader="none"/>
          <w:tab w:val="left" w:pos="5580" w:leader="none"/>
        </w:tabs>
        <w:rPr>
          <w:sz w:val="24"/>
        </w:rPr>
      </w:pPr>
      <w:r>
        <w:rPr>
          <w:rFonts w:hint="eastAsia"/>
          <w:color w:val="000000"/>
          <w:sz w:val="24"/>
        </w:rPr>
        <w:t xml:space="preserve">1.</w:t>
      </w:r>
      <w:r>
        <w:rPr>
          <w:color w:val="000000"/>
          <w:sz w:val="24"/>
        </w:rPr>
        <w:t xml:space="preserve"> </w:t>
      </w:r>
      <w:r>
        <w:rPr>
          <w:sz w:val="24"/>
        </w:rPr>
        <w:t xml:space="preserve">对磋商文件中的所有商务、技术要求，除本表所列明的所有偏离外，均视作供应商已对之理解和</w:t>
      </w:r>
      <w:r>
        <w:rPr>
          <w:rFonts w:hint="eastAsia"/>
          <w:sz w:val="24"/>
        </w:rPr>
        <w:t xml:space="preserve">响应</w:t>
      </w:r>
      <w:r>
        <w:rPr>
          <w:sz w:val="24"/>
        </w:rPr>
        <w:t xml:space="preserve">。此表中若无任何文字说明，内容为空白，则</w:t>
      </w:r>
      <w:r>
        <w:rPr>
          <w:b/>
          <w:sz w:val="24"/>
        </w:rPr>
        <w:t xml:space="preserve">响应无效</w:t>
      </w:r>
      <w:r>
        <w:rPr>
          <w:sz w:val="24"/>
        </w:rPr>
        <w:t xml:space="preserve">。</w:t>
      </w:r>
      <w:r/>
    </w:p>
    <w:p>
      <w:pPr>
        <w:jc w:val="left"/>
        <w:tabs>
          <w:tab w:val="left" w:pos="1800" w:leader="none"/>
          <w:tab w:val="left" w:pos="5580" w:leader="none"/>
        </w:tabs>
        <w:rPr>
          <w:color w:val="000000"/>
          <w:sz w:val="24"/>
        </w:rPr>
      </w:pPr>
      <w:r>
        <w:rPr>
          <w:sz w:val="24"/>
        </w:rPr>
        <w:t xml:space="preserve">2.</w:t>
      </w:r>
      <w:r>
        <w:rPr>
          <w:rFonts w:hint="eastAsia"/>
          <w:sz w:val="24"/>
        </w:rPr>
        <w:t xml:space="preserve">“偏离情况”列应</w:t>
      </w:r>
      <w:r>
        <w:rPr>
          <w:rFonts w:hint="eastAsia"/>
          <w:color w:val="000000"/>
          <w:sz w:val="24"/>
        </w:rPr>
        <w:t xml:space="preserve">据实</w:t>
      </w:r>
      <w:r>
        <w:rPr>
          <w:rFonts w:hint="eastAsia"/>
          <w:sz w:val="24"/>
        </w:rPr>
        <w:t xml:space="preserve">填写“正偏离”或“负偏离”。</w:t>
      </w:r>
      <w:r/>
    </w:p>
    <w:p>
      <w:pPr>
        <w:jc w:val="left"/>
        <w:tabs>
          <w:tab w:val="left" w:pos="1800" w:leader="none"/>
          <w:tab w:val="left" w:pos="5580" w:leader="none"/>
        </w:tabs>
        <w:rPr>
          <w:color w:val="000000"/>
          <w:sz w:val="24"/>
        </w:rPr>
      </w:pPr>
      <w:r>
        <w:rPr>
          <w:color w:val="000000"/>
          <w:sz w:val="24"/>
        </w:rPr>
      </w:r>
      <w:r/>
    </w:p>
    <w:p>
      <w:pPr>
        <w:rPr>
          <w:color w:val="000000"/>
          <w:sz w:val="24"/>
          <w:szCs w:val="20"/>
        </w:rPr>
      </w:pPr>
      <w:r>
        <w:rPr>
          <w:color w:val="000000"/>
          <w:sz w:val="24"/>
          <w:szCs w:val="20"/>
        </w:rPr>
      </w:r>
      <w:r/>
    </w:p>
    <w:p>
      <w:pPr>
        <w:spacing w:before="25" w:after="25" w:line="360" w:lineRule="auto"/>
        <w:rPr>
          <w:color w:val="000000"/>
          <w:sz w:val="24"/>
          <w:lang w:val="zh-CN"/>
        </w:rPr>
      </w:pPr>
      <w:r>
        <w:rPr>
          <w:color w:val="000000"/>
          <w:sz w:val="24"/>
          <w:lang w:val="zh-CN"/>
        </w:rPr>
        <w:t xml:space="preserve">                  </w:t>
      </w:r>
      <w:r/>
    </w:p>
    <w:p>
      <w:pPr>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p>
    <w:p>
      <w:pPr>
        <w:spacing w:before="25" w:after="25" w:line="360" w:lineRule="auto"/>
        <w:rPr>
          <w:color w:val="000000"/>
          <w:sz w:val="24"/>
          <w:lang w:val="zh-CN"/>
        </w:rPr>
      </w:pPr>
      <w:r>
        <w:rPr>
          <w:color w:val="000000"/>
          <w:sz w:val="24"/>
          <w:szCs w:val="20"/>
        </w:rPr>
        <w:t xml:space="preserve">日期：_____年______月______日   </w:t>
      </w:r>
      <w:r/>
    </w:p>
    <w:p>
      <w:pPr>
        <w:spacing w:line="560" w:lineRule="exact"/>
        <w:rPr>
          <w:color w:val="000000"/>
          <w:sz w:val="24"/>
          <w:szCs w:val="20"/>
        </w:rPr>
      </w:pPr>
      <w:r>
        <w:rPr>
          <w:color w:val="000000"/>
          <w:sz w:val="24"/>
          <w:szCs w:val="20"/>
        </w:rPr>
        <w:br w:type="page" w:clear="all"/>
      </w:r>
      <w:r>
        <w:rPr>
          <w:rFonts w:hint="eastAsia"/>
          <w:color w:val="000000"/>
          <w:sz w:val="24"/>
          <w:szCs w:val="20"/>
        </w:rPr>
        <w:t xml:space="preserve">1</w:t>
      </w:r>
      <w:r>
        <w:rPr>
          <w:rFonts w:hint="eastAsia"/>
          <w:color w:val="000000"/>
          <w:sz w:val="24"/>
          <w:szCs w:val="20"/>
          <w:lang w:val="en-US" w:eastAsia="zh-CN"/>
        </w:rPr>
        <w:t xml:space="preserve">1</w:t>
      </w:r>
      <w:r>
        <w:rPr>
          <w:color w:val="000000"/>
          <w:sz w:val="24"/>
          <w:szCs w:val="20"/>
        </w:rPr>
        <w:t xml:space="preserve">  </w:t>
      </w:r>
      <w:r>
        <w:rPr>
          <w:rFonts w:hint="eastAsia"/>
          <w:color w:val="000000"/>
          <w:sz w:val="24"/>
          <w:szCs w:val="20"/>
        </w:rPr>
        <w:t xml:space="preserve">项目实施方案等</w:t>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rPr>
          <w:color w:val="000000"/>
          <w:sz w:val="24"/>
          <w:szCs w:val="20"/>
        </w:rPr>
      </w:pPr>
      <w:r/>
      <w:bookmarkStart w:id="740" w:name="_Toc288738839"/>
      <w:r/>
      <w:bookmarkStart w:id="741" w:name="_Toc288738397"/>
      <w:r>
        <w:rPr>
          <w:rFonts w:hint="eastAsia"/>
          <w:color w:val="000000"/>
          <w:sz w:val="24"/>
          <w:szCs w:val="20"/>
        </w:rPr>
        <w:t xml:space="preserve">1</w:t>
      </w:r>
      <w:r>
        <w:rPr>
          <w:rFonts w:hint="eastAsia"/>
          <w:color w:val="000000"/>
          <w:sz w:val="24"/>
          <w:szCs w:val="20"/>
          <w:lang w:val="en-US" w:eastAsia="zh-CN"/>
        </w:rPr>
        <w:t xml:space="preserve">2</w:t>
      </w:r>
      <w:r>
        <w:rPr>
          <w:rFonts w:hint="eastAsia"/>
          <w:color w:val="000000"/>
          <w:sz w:val="24"/>
          <w:szCs w:val="20"/>
        </w:rPr>
        <w:t xml:space="preserve">  相关业绩案例一览表</w:t>
      </w:r>
      <w:r/>
    </w:p>
    <w:p>
      <w:pPr>
        <w:rPr>
          <w:color w:val="000000"/>
          <w:sz w:val="24"/>
          <w:szCs w:val="20"/>
        </w:rPr>
      </w:pPr>
      <w:r>
        <w:rPr>
          <w:color w:val="000000"/>
          <w:sz w:val="24"/>
          <w:szCs w:val="20"/>
        </w:rPr>
      </w:r>
      <w:r/>
    </w:p>
    <w:p>
      <w:pPr>
        <w:jc w:val="center"/>
        <w:rPr>
          <w:rFonts w:ascii="宋体" w:hAnsi="宋体"/>
          <w:b/>
          <w:sz w:val="32"/>
          <w:szCs w:val="32"/>
        </w:rPr>
      </w:pPr>
      <w:r>
        <w:rPr>
          <w:rFonts w:hint="eastAsia" w:ascii="宋体" w:hAnsi="宋体"/>
          <w:b/>
          <w:sz w:val="32"/>
          <w:szCs w:val="32"/>
        </w:rPr>
        <w:t xml:space="preserve">相关业绩案例一览表</w:t>
      </w:r>
      <w:bookmarkEnd w:id="740"/>
      <w:r/>
      <w:bookmarkEnd w:id="741"/>
      <w:r/>
      <w:r/>
    </w:p>
    <w:p>
      <w:pPr>
        <w:jc w:val="center"/>
        <w:spacing w:line="360" w:lineRule="auto"/>
        <w:rPr>
          <w:rFonts w:ascii="宋体" w:hAnsi="宋体"/>
          <w:b/>
          <w:sz w:val="28"/>
          <w:szCs w:val="30"/>
        </w:rPr>
      </w:pPr>
      <w:r>
        <w:rPr>
          <w:rFonts w:ascii="宋体" w:hAnsi="宋体"/>
          <w:b/>
          <w:sz w:val="28"/>
          <w:szCs w:val="30"/>
        </w:rPr>
      </w:r>
      <w:r/>
    </w:p>
    <w:p>
      <w:pPr>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855"/>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bl>
    <w:p>
      <w:pPr>
        <w:tabs>
          <w:tab w:val="left" w:pos="9765" w:leader="none"/>
        </w:tabs>
        <w:rPr>
          <w:rFonts w:ascii="宋体" w:hAnsi="宋体" w:cs="宋体"/>
          <w:sz w:val="24"/>
          <w:lang w:val="zh-CN"/>
        </w:rPr>
      </w:pPr>
      <w:r>
        <w:rPr>
          <w:rFonts w:ascii="宋体" w:hAnsi="宋体" w:cs="宋体"/>
          <w:sz w:val="24"/>
          <w:lang w:val="zh-CN"/>
        </w:rPr>
      </w:r>
      <w:r/>
    </w:p>
    <w:p>
      <w:pPr>
        <w:spacing w:line="360" w:lineRule="auto"/>
        <w:rPr>
          <w:rFonts w:ascii="宋体" w:hAnsi="宋体" w:cs="宋体"/>
          <w:sz w:val="24"/>
        </w:rPr>
      </w:pPr>
      <w:r>
        <w:rPr>
          <w:rFonts w:ascii="宋体" w:hAnsi="宋体" w:cs="宋体"/>
          <w:sz w:val="24"/>
        </w:rPr>
      </w:r>
      <w:r/>
    </w:p>
    <w:p>
      <w:pPr>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p>
    <w:p>
      <w:pPr>
        <w:spacing w:before="25" w:after="25" w:line="360" w:lineRule="auto"/>
        <w:rPr>
          <w:color w:val="000000"/>
          <w:sz w:val="24"/>
          <w:lang w:val="zh-CN"/>
        </w:rPr>
      </w:pPr>
      <w:r>
        <w:rPr>
          <w:color w:val="000000"/>
          <w:sz w:val="24"/>
          <w:szCs w:val="20"/>
        </w:rPr>
        <w:t xml:space="preserve">日期：_____年______月______日   </w:t>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pStyle w:val="846"/>
        <w:rPr>
          <w:rFonts w:hint="eastAsia"/>
        </w:rPr>
      </w:pPr>
      <w:r>
        <w:rPr>
          <w:rFonts w:hint="eastAsia"/>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sz w:val="24"/>
        </w:rPr>
        <w:outlineLvl w:val="2"/>
      </w:pPr>
      <w:r>
        <w:rPr>
          <w:color w:val="000000"/>
          <w:sz w:val="24"/>
          <w:szCs w:val="20"/>
        </w:rPr>
        <w:t xml:space="preserve">1</w:t>
      </w:r>
      <w:r>
        <w:rPr>
          <w:rFonts w:hint="eastAsia"/>
          <w:color w:val="000000"/>
          <w:sz w:val="24"/>
          <w:szCs w:val="20"/>
          <w:lang w:val="en-US" w:eastAsia="zh-CN"/>
        </w:rPr>
        <w:t xml:space="preserve">3</w:t>
      </w:r>
      <w:r>
        <w:rPr>
          <w:color w:val="000000"/>
          <w:sz w:val="24"/>
          <w:szCs w:val="20"/>
        </w:rPr>
        <w:t xml:space="preserve"> 磋商文件要求提供或供应商认为应附的其他材料</w:t>
      </w:r>
      <w:r/>
    </w:p>
    <w:p>
      <w:pPr>
        <w:rPr>
          <w:b/>
          <w:sz w:val="36"/>
          <w:szCs w:val="36"/>
        </w:rPr>
      </w:pPr>
      <w:r>
        <w:rPr>
          <w:b/>
          <w:sz w:val="36"/>
          <w:szCs w:val="36"/>
        </w:rPr>
      </w:r>
      <w:r/>
    </w:p>
    <w:p>
      <w:pPr>
        <w:rPr>
          <w:color w:val="000000"/>
          <w:sz w:val="24"/>
          <w:lang w:val="zh-CN"/>
        </w:rPr>
      </w:pPr>
      <w:r>
        <w:rPr>
          <w:color w:val="000000"/>
          <w:sz w:val="24"/>
          <w:szCs w:val="20"/>
        </w:rPr>
        <w:t xml:space="preserve"> </w:t>
      </w:r>
      <w:r/>
    </w:p>
    <w:sectPr>
      <w:headerReference w:type="even" r:id="rId12"/>
      <w:headerReference w:type="first" r:id="rId13"/>
      <w:footerReference w:type="even" r:id="rId21"/>
      <w:footerReference w:type="first" r:id="rId22"/>
      <w:footnotePr/>
      <w:endnotePr/>
      <w:type w:val="nextPage"/>
      <w:pgSz w:w="11907" w:h="16840" w:orient="portrait"/>
      <w:pgMar w:top="1440" w:right="1800" w:bottom="1440" w:left="1800"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方正仿宋_GBK">
    <w:panose1 w:val="020B0503020202020204"/>
  </w:font>
  <w:font w:name="CESI黑体-GB2312">
    <w:panose1 w:val="020B0503020202020204"/>
  </w:font>
  <w:font w:name="Wingdings">
    <w:panose1 w:val="05000000000000000000"/>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jc w:val="center"/>
      <w:rPr>
        <w:rFonts w:ascii="Times New Roman"/>
      </w:rPr>
    </w:pPr>
    <w:r>
      <w:rPr>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rPr>
        <w:rStyle w:val="1104"/>
      </w:rPr>
      <w:framePr w:wrap="around" w:vAnchor="text" w:hAnchor="margin" w:xAlign="center" w:y="1"/>
    </w:pPr>
    <w:r>
      <w:fldChar w:fldCharType="begin"/>
    </w:r>
    <w:r>
      <w:rPr>
        <w:rStyle w:val="1104"/>
      </w:rPr>
      <w:instrText xml:space="preserve">PAGE  </w:instrText>
    </w:r>
    <w:r>
      <w:fldChar w:fldCharType="end"/>
    </w:r>
    <w:r/>
  </w:p>
  <w:p>
    <w:pPr>
      <w:pStyle w:val="1079"/>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jc w:val="center"/>
    </w:pPr>
    <w:r>
      <w:rPr>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jc w:val="center"/>
      <w:rPr>
        <w:rFonts w:ascii="Times New Roman"/>
      </w:rPr>
    </w:pPr>
    <w:r>
      <w:rPr>
        <w:sz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jc w:val="center"/>
    </w:pPr>
    <w:r>
      <w:rPr>
        <w:sz w:val="18"/>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rPr>
        <w:rStyle w:val="1104"/>
      </w:rPr>
      <w:framePr w:wrap="around" w:vAnchor="text" w:hAnchor="margin" w:xAlign="right" w:y="1"/>
    </w:pPr>
    <w:r>
      <w:rPr>
        <w:rStyle w:val="1104"/>
      </w:rPr>
      <w:fldChar w:fldCharType="begin"/>
    </w:r>
    <w:r>
      <w:rPr>
        <w:rStyle w:val="1104"/>
      </w:rPr>
      <w:instrText xml:space="preserve">PAGE  </w:instrText>
    </w:r>
    <w:r>
      <w:rPr>
        <w:rStyle w:val="1104"/>
      </w:rPr>
      <w:fldChar w:fldCharType="end"/>
    </w:r>
    <w:r/>
  </w:p>
  <w:p>
    <w:pPr>
      <w:pStyle w:val="1079"/>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85"/>
      <w:spacing w:line="196" w:lineRule="auto"/>
      <w:rPr>
        <w:rFonts w:ascii="Times New Roman" w:hAnsi="Times New Roman" w:eastAsia="Times New Roman" w:cs="Times New Roman"/>
        <w:sz w:val="17"/>
        <w:szCs w:val="17"/>
      </w:rPr>
    </w:pPr>
    <w:r>
      <w:rPr>
        <w:sz w:val="17"/>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rPr>
        <w:rStyle w:val="1104"/>
      </w:rPr>
      <w:framePr w:wrap="around" w:vAnchor="text" w:hAnchor="margin" w:xAlign="right" w:y="1"/>
    </w:pPr>
    <w:r>
      <w:rPr>
        <w:rStyle w:val="1104"/>
      </w:rPr>
      <w:fldChar w:fldCharType="begin"/>
    </w:r>
    <w:r>
      <w:rPr>
        <w:rStyle w:val="1104"/>
      </w:rPr>
      <w:instrText xml:space="preserve">PAGE  </w:instrText>
    </w:r>
    <w:r>
      <w:rPr>
        <w:rStyle w:val="1104"/>
      </w:rPr>
      <w:fldChar w:fldCharType="end"/>
    </w:r>
    <w:r/>
  </w:p>
  <w:p>
    <w:pPr>
      <w:pStyle w:val="1079"/>
      <w:ind w:right="360"/>
    </w:pPr>
    <w:r/>
    <w:r/>
  </w:p>
  <w:p>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jc w:val="right"/>
    </w:pPr>
    <w:r>
      <w:rPr>
        <w:rFonts w:hint="eastAsia"/>
      </w:rPr>
      <w:t xml:space="preserve">常州市政府采购项目竞争性磋商文件示范文本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jc w:val="right"/>
      <w:pBdr>
        <w:bottom w:val="single" w:color="000000" w:sz="4" w:space="1"/>
      </w:pBdr>
    </w:pPr>
    <w:r>
      <w:rPr>
        <w:rFonts w:hint="eastAsia"/>
      </w:rPr>
      <w:t xml:space="preserve">常州市政府采购项目竞争性磋商文件示范文本</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1"/>
      <w:jc w:val="right"/>
      <w:spacing w:line="229" w:lineRule="auto"/>
      <w:rPr>
        <w:rFonts w:ascii="宋体" w:hAnsi="宋体" w:eastAsia="宋体" w:cs="宋体"/>
        <w:sz w:val="17"/>
        <w:szCs w:val="17"/>
      </w:rPr>
      <w:pBdr>
        <w:bottom w:val="none" w:color="auto"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page">
                <wp:posOffset>828040</wp:posOffset>
              </wp:positionH>
              <wp:positionV relativeFrom="page">
                <wp:posOffset>701040</wp:posOffset>
              </wp:positionV>
              <wp:extent cx="5904865" cy="9525"/>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5904865" cy="9525"/>
                      </a:xfrm>
                      <a:custGeom>
                        <a:avLst/>
                        <a:gdLst>
                          <a:gd name="gd0" fmla="val 65536"/>
                          <a:gd name="gd1" fmla="val 0"/>
                          <a:gd name="gd2" fmla="val 0"/>
                          <a:gd name="gd3" fmla="val 9298"/>
                          <a:gd name="gd4" fmla="val 0"/>
                          <a:gd name="gd5" fmla="val 9298"/>
                          <a:gd name="gd6" fmla="val 14"/>
                          <a:gd name="gd7" fmla="val 0"/>
                          <a:gd name="gd8" fmla="val 14"/>
                          <a:gd name="gd9" fmla="val 0"/>
                          <a:gd name="gd10" fmla="val 0"/>
                          <a:gd name="gd11" fmla="*/ w 0 9299"/>
                          <a:gd name="gd12" fmla="*/ h 0 15"/>
                          <a:gd name="gd13" fmla="*/ w 21600 9299"/>
                          <a:gd name="gd14" fmla="*/ h 21600 15"/>
                        </a:gdLst>
                        <a:ahLst/>
                        <a:cxnLst/>
                        <a:rect l="gd11" t="gd12" r="gd13" b="gd14"/>
                        <a:pathLst>
                          <a:path w="9299" h="15" fill="norm" stroke="1" extrusionOk="0">
                            <a:moveTo>
                              <a:pt x="gd1" y="gd2"/>
                            </a:moveTo>
                            <a:lnTo>
                              <a:pt x="gd3" y="gd4"/>
                            </a:lnTo>
                            <a:lnTo>
                              <a:pt x="gd5" y="gd6"/>
                            </a:lnTo>
                            <a:lnTo>
                              <a:pt x="gd7" y="gd8"/>
                            </a:lnTo>
                            <a:lnTo>
                              <a:pt x="gd9" y="gd10"/>
                            </a:lnTo>
                            <a:close/>
                          </a:path>
                          <a:path w="9299"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0" o:spid="_x0000_s0" style="position:absolute;z-index:251659264;o:allowoverlap:true;o:allowincell:false;mso-position-horizontal-relative:page;margin-left:65.2pt;mso-position-horizontal:absolute;mso-position-vertical-relative:page;margin-top:55.2pt;mso-position-vertical:absolute;width:464.9pt;height:0.8pt;mso-wrap-distance-left:9.0pt;mso-wrap-distance-top:0.0pt;mso-wrap-distance-right:9.0pt;mso-wrap-distance-bottom:0.0pt;visibility:visible;" path="m0,0l99988,0l99988,93333l0,93333l0,0xee" coordsize="100000,100000" fillcolor="#000000" stroked="f">
              <v:path textboxrect="0,0,232282,144000000"/>
            </v:shape>
          </w:pict>
        </mc:Fallback>
      </mc:AlternateContent>
    </w:r>
    <w:r>
      <w:rPr>
        <w:rFonts w:ascii="宋体" w:hAnsi="宋体" w:eastAsia="宋体" w:cs="宋体"/>
        <w:spacing w:val="13"/>
        <w:sz w:val="17"/>
        <w:szCs w:val="17"/>
      </w:rPr>
      <w:t xml:space="preserve">常</w:t>
    </w:r>
    <w:r>
      <w:rPr>
        <w:rFonts w:ascii="宋体" w:hAnsi="宋体" w:eastAsia="宋体" w:cs="宋体"/>
        <w:spacing w:val="9"/>
        <w:sz w:val="17"/>
        <w:szCs w:val="17"/>
      </w:rPr>
      <w:t xml:space="preserve">州市政府采购项目竞争性磋商文件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pPr>
    <w:r/>
    <w:r/>
  </w:p>
  <w:p>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84"/>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71"/>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4">
    <w:multiLevelType w:val="hybridMultilevel"/>
    <w:lvl w:ilvl="0">
      <w:start w:val="1"/>
      <w:numFmt w:val="decimal"/>
      <w:pStyle w:val="1138"/>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33"/>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132"/>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69"/>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168"/>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177"/>
      <w:isLgl w:val="false"/>
      <w:suff w:val="nothing"/>
      <w:lvlText w:val="%1.%2.%3.%4.%5.%6　"/>
      <w:lvlJc w:val="left"/>
      <w:pPr>
        <w:ind w:left="-25" w:firstLine="0"/>
      </w:pPr>
      <w:rPr>
        <w:rFonts w:ascii="Times New Roman" w:hAnsi="Times New Roman" w:eastAsia="宋体"/>
        <w:b/>
        <w:i w:val="0"/>
        <w:sz w:val="28"/>
      </w:rPr>
    </w:lvl>
    <w:lvl w:ilvl="6">
      <w:start w:val="1"/>
      <w:numFmt w:val="lowerLetter"/>
      <w:pStyle w:val="1190"/>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153"/>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7">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8">
    <w:multiLevelType w:val="hybridMultilevel"/>
    <w:lvl w:ilvl="0">
      <w:start w:val="1"/>
      <w:numFmt w:val="lowerLetter"/>
      <w:pStyle w:val="1214"/>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9">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239"/>
      <w:isLgl w:val="false"/>
      <w:suff w:val="tab"/>
      <w:lvlText w:val="%1"/>
      <w:lvlJc w:val="left"/>
      <w:pPr>
        <w:ind w:left="680" w:hanging="680"/>
      </w:pPr>
      <w:rPr>
        <w:rFonts w:hint="eastAsia" w:ascii="宋体" w:hAnsi="宋体" w:eastAsia="宋体"/>
      </w:rPr>
    </w:lvl>
    <w:lvl w:ilvl="1">
      <w:start w:val="1"/>
      <w:numFmt w:val="decimal"/>
      <w:pStyle w:val="1240"/>
      <w:isLgl w:val="false"/>
      <w:suff w:val="tab"/>
      <w:lvlText w:val="%1.%2"/>
      <w:lvlJc w:val="left"/>
      <w:pPr>
        <w:ind w:left="851" w:hanging="851"/>
      </w:pPr>
      <w:rPr>
        <w:rFonts w:hint="eastAsia" w:ascii="宋体" w:hAnsi="宋体" w:eastAsia="宋体"/>
        <w:color w:val="000000"/>
      </w:rPr>
    </w:lvl>
    <w:lvl w:ilvl="2">
      <w:start w:val="1"/>
      <w:numFmt w:val="decimal"/>
      <w:pStyle w:val="1241"/>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b w:val="0"/>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3">
    <w:multiLevelType w:val="hybridMultilevel"/>
    <w:lvl w:ilvl="0">
      <w:start w:val="1"/>
      <w:numFmt w:val="decimal"/>
      <w:pStyle w:val="1139"/>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6"/>
  </w:num>
  <w:num w:numId="2">
    <w:abstractNumId w:val="4"/>
  </w:num>
  <w:num w:numId="3">
    <w:abstractNumId w:val="13"/>
  </w:num>
  <w:num w:numId="4">
    <w:abstractNumId w:val="3"/>
  </w:num>
  <w:num w:numId="5">
    <w:abstractNumId w:val="2"/>
  </w:num>
  <w:num w:numId="6">
    <w:abstractNumId w:val="8"/>
  </w:num>
  <w:num w:numId="7">
    <w:abstractNumId w:val="10"/>
  </w:num>
  <w:num w:numId="8">
    <w:abstractNumId w:val="14"/>
  </w:num>
  <w:num w:numId="9">
    <w:abstractNumId w:val="7"/>
  </w:num>
  <w:num w:numId="10">
    <w:abstractNumId w:val="0"/>
  </w:num>
  <w:num w:numId="11">
    <w:abstractNumId w:val="12"/>
  </w:num>
  <w:num w:numId="12">
    <w:abstractNumId w:val="11"/>
  </w:num>
  <w:num w:numId="13">
    <w:abstractNumId w:val="1"/>
  </w:num>
  <w:num w:numId="14">
    <w:abstractNumId w:val="5"/>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4" w:default="1">
    <w:name w:val="Normal"/>
    <w:link w:val="127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5">
    <w:name w:val="Heading 1"/>
    <w:basedOn w:val="844"/>
    <w:next w:val="844"/>
    <w:link w:val="884"/>
    <w:uiPriority w:val="9"/>
    <w:qFormat/>
    <w:pPr>
      <w:keepLines/>
      <w:keepNext/>
      <w:spacing w:before="480" w:after="200"/>
      <w:outlineLvl w:val="0"/>
    </w:pPr>
    <w:rPr>
      <w:rFonts w:ascii="Arial" w:hAnsi="Arial" w:eastAsia="Arial" w:cs="Arial"/>
      <w:sz w:val="40"/>
      <w:szCs w:val="40"/>
    </w:rPr>
  </w:style>
  <w:style w:type="paragraph" w:styleId="846">
    <w:name w:val="Heading 2"/>
    <w:basedOn w:val="844"/>
    <w:next w:val="844"/>
    <w:link w:val="885"/>
    <w:uiPriority w:val="9"/>
    <w:unhideWhenUsed/>
    <w:qFormat/>
    <w:pPr>
      <w:keepLines/>
      <w:keepNext/>
      <w:spacing w:before="360" w:after="200"/>
      <w:outlineLvl w:val="1"/>
    </w:pPr>
    <w:rPr>
      <w:rFonts w:ascii="Arial" w:hAnsi="Arial" w:eastAsia="Arial" w:cs="Arial"/>
      <w:sz w:val="34"/>
    </w:rPr>
  </w:style>
  <w:style w:type="paragraph" w:styleId="847">
    <w:name w:val="Heading 3"/>
    <w:basedOn w:val="844"/>
    <w:next w:val="844"/>
    <w:link w:val="886"/>
    <w:uiPriority w:val="9"/>
    <w:unhideWhenUsed/>
    <w:qFormat/>
    <w:pPr>
      <w:keepLines/>
      <w:keepNext/>
      <w:spacing w:before="320" w:after="200"/>
      <w:outlineLvl w:val="2"/>
    </w:pPr>
    <w:rPr>
      <w:rFonts w:ascii="Arial" w:hAnsi="Arial" w:eastAsia="Arial" w:cs="Arial"/>
      <w:sz w:val="30"/>
      <w:szCs w:val="30"/>
    </w:rPr>
  </w:style>
  <w:style w:type="paragraph" w:styleId="848">
    <w:name w:val="Heading 4"/>
    <w:basedOn w:val="844"/>
    <w:next w:val="844"/>
    <w:link w:val="887"/>
    <w:uiPriority w:val="9"/>
    <w:unhideWhenUsed/>
    <w:qFormat/>
    <w:pPr>
      <w:keepLines/>
      <w:keepNext/>
      <w:spacing w:before="320" w:after="200"/>
      <w:outlineLvl w:val="3"/>
    </w:pPr>
    <w:rPr>
      <w:rFonts w:ascii="Arial" w:hAnsi="Arial" w:eastAsia="Arial" w:cs="Arial"/>
      <w:b/>
      <w:bCs/>
      <w:sz w:val="26"/>
      <w:szCs w:val="26"/>
    </w:rPr>
  </w:style>
  <w:style w:type="paragraph" w:styleId="849">
    <w:name w:val="Heading 5"/>
    <w:basedOn w:val="844"/>
    <w:next w:val="844"/>
    <w:link w:val="888"/>
    <w:uiPriority w:val="9"/>
    <w:unhideWhenUsed/>
    <w:qFormat/>
    <w:pPr>
      <w:keepLines/>
      <w:keepNext/>
      <w:spacing w:before="320" w:after="200"/>
      <w:outlineLvl w:val="4"/>
    </w:pPr>
    <w:rPr>
      <w:rFonts w:ascii="Arial" w:hAnsi="Arial" w:eastAsia="Arial" w:cs="Arial"/>
      <w:b/>
      <w:bCs/>
      <w:sz w:val="24"/>
      <w:szCs w:val="24"/>
    </w:rPr>
  </w:style>
  <w:style w:type="paragraph" w:styleId="850">
    <w:name w:val="Heading 6"/>
    <w:basedOn w:val="844"/>
    <w:next w:val="844"/>
    <w:link w:val="889"/>
    <w:uiPriority w:val="9"/>
    <w:unhideWhenUsed/>
    <w:qFormat/>
    <w:pPr>
      <w:keepLines/>
      <w:keepNext/>
      <w:spacing w:before="320" w:after="200"/>
      <w:outlineLvl w:val="5"/>
    </w:pPr>
    <w:rPr>
      <w:rFonts w:ascii="Arial" w:hAnsi="Arial" w:eastAsia="Arial" w:cs="Arial"/>
      <w:b/>
      <w:bCs/>
      <w:sz w:val="22"/>
      <w:szCs w:val="22"/>
    </w:rPr>
  </w:style>
  <w:style w:type="paragraph" w:styleId="851">
    <w:name w:val="Heading 7"/>
    <w:basedOn w:val="844"/>
    <w:next w:val="844"/>
    <w:link w:val="890"/>
    <w:uiPriority w:val="9"/>
    <w:unhideWhenUsed/>
    <w:qFormat/>
    <w:pPr>
      <w:keepLines/>
      <w:keepNext/>
      <w:spacing w:before="320" w:after="200"/>
      <w:outlineLvl w:val="6"/>
    </w:pPr>
    <w:rPr>
      <w:rFonts w:ascii="Arial" w:hAnsi="Arial" w:eastAsia="Arial" w:cs="Arial"/>
      <w:b/>
      <w:bCs/>
      <w:i/>
      <w:iCs/>
      <w:sz w:val="22"/>
      <w:szCs w:val="22"/>
    </w:rPr>
  </w:style>
  <w:style w:type="paragraph" w:styleId="852">
    <w:name w:val="Heading 8"/>
    <w:basedOn w:val="844"/>
    <w:next w:val="844"/>
    <w:link w:val="891"/>
    <w:uiPriority w:val="9"/>
    <w:unhideWhenUsed/>
    <w:qFormat/>
    <w:pPr>
      <w:keepLines/>
      <w:keepNext/>
      <w:spacing w:before="320" w:after="200"/>
      <w:outlineLvl w:val="7"/>
    </w:pPr>
    <w:rPr>
      <w:rFonts w:ascii="Arial" w:hAnsi="Arial" w:eastAsia="Arial" w:cs="Arial"/>
      <w:i/>
      <w:iCs/>
      <w:sz w:val="22"/>
      <w:szCs w:val="22"/>
    </w:rPr>
  </w:style>
  <w:style w:type="paragraph" w:styleId="853">
    <w:name w:val="Heading 9"/>
    <w:basedOn w:val="844"/>
    <w:next w:val="844"/>
    <w:link w:val="892"/>
    <w:uiPriority w:val="9"/>
    <w:unhideWhenUsed/>
    <w:qFormat/>
    <w:pPr>
      <w:keepLines/>
      <w:keepNext/>
      <w:spacing w:before="320" w:after="200"/>
      <w:outlineLvl w:val="8"/>
    </w:pPr>
    <w:rPr>
      <w:rFonts w:ascii="Arial" w:hAnsi="Arial" w:eastAsia="Arial" w:cs="Arial"/>
      <w:i/>
      <w:iCs/>
      <w:sz w:val="21"/>
      <w:szCs w:val="21"/>
    </w:rPr>
  </w:style>
  <w:style w:type="character" w:styleId="854" w:default="1">
    <w:name w:val="Default Paragraph Font"/>
    <w:uiPriority w:val="1"/>
    <w:semiHidden/>
    <w:unhideWhenUsed/>
    <w:qFormat/>
  </w:style>
  <w:style w:type="table" w:styleId="855" w:default="1">
    <w:name w:val="Normal Table"/>
    <w:uiPriority w:val="99"/>
    <w:semiHidden/>
    <w:unhideWhenUsed/>
    <w:qFormat/>
    <w:tblPr>
      <w:tblCellMar>
        <w:left w:w="108" w:type="dxa"/>
        <w:top w:w="0" w:type="dxa"/>
        <w:right w:w="108" w:type="dxa"/>
        <w:bottom w:w="0" w:type="dxa"/>
      </w:tblCellMar>
    </w:tblPr>
  </w:style>
  <w:style w:type="paragraph" w:styleId="856">
    <w:name w:val="toc 7"/>
    <w:basedOn w:val="844"/>
    <w:next w:val="844"/>
    <w:uiPriority w:val="39"/>
    <w:unhideWhenUsed/>
    <w:qFormat/>
    <w:pPr>
      <w:ind w:left="1701" w:right="0" w:firstLine="0"/>
      <w:spacing w:after="57"/>
    </w:pPr>
  </w:style>
  <w:style w:type="paragraph" w:styleId="857">
    <w:name w:val="Normal Indent"/>
    <w:basedOn w:val="844"/>
    <w:next w:val="844"/>
    <w:uiPriority w:val="0"/>
    <w:qFormat/>
    <w:pPr>
      <w:ind w:firstLine="420"/>
      <w:jc w:val="left"/>
    </w:pPr>
    <w:rPr>
      <w:rFonts w:ascii="宋体"/>
      <w:sz w:val="24"/>
    </w:rPr>
  </w:style>
  <w:style w:type="paragraph" w:styleId="858">
    <w:name w:val="Caption"/>
    <w:basedOn w:val="844"/>
    <w:next w:val="844"/>
    <w:uiPriority w:val="35"/>
    <w:semiHidden/>
    <w:unhideWhenUsed/>
    <w:qFormat/>
    <w:pPr>
      <w:spacing w:line="276" w:lineRule="auto"/>
    </w:pPr>
    <w:rPr>
      <w:b/>
      <w:bCs/>
      <w:color w:val="4f81bd" w:themeColor="accent1"/>
      <w:sz w:val="18"/>
      <w:szCs w:val="18"/>
    </w:rPr>
  </w:style>
  <w:style w:type="paragraph" w:styleId="859">
    <w:name w:val="Body Text"/>
    <w:basedOn w:val="844"/>
    <w:next w:val="844"/>
    <w:uiPriority w:val="0"/>
    <w:qFormat/>
    <w:pPr>
      <w:spacing w:before="120" w:line="22" w:lineRule="atLeast"/>
      <w:tabs>
        <w:tab w:val="left" w:pos="567" w:leader="none"/>
      </w:tabs>
    </w:pPr>
    <w:rPr>
      <w:rFonts w:ascii="宋体" w:hAnsi="宋体"/>
      <w:sz w:val="24"/>
    </w:rPr>
  </w:style>
  <w:style w:type="paragraph" w:styleId="860">
    <w:name w:val="Body Text Indent"/>
    <w:basedOn w:val="844"/>
    <w:next w:val="844"/>
    <w:uiPriority w:val="0"/>
    <w:qFormat/>
    <w:pPr>
      <w:ind w:firstLine="570"/>
      <w:spacing w:line="360" w:lineRule="auto"/>
    </w:pPr>
    <w:rPr>
      <w:sz w:val="24"/>
    </w:rPr>
  </w:style>
  <w:style w:type="paragraph" w:styleId="861">
    <w:name w:val="toc 5"/>
    <w:basedOn w:val="844"/>
    <w:next w:val="844"/>
    <w:uiPriority w:val="39"/>
    <w:unhideWhenUsed/>
    <w:qFormat/>
    <w:pPr>
      <w:ind w:left="1134" w:right="0" w:firstLine="0"/>
      <w:spacing w:after="57"/>
    </w:pPr>
  </w:style>
  <w:style w:type="paragraph" w:styleId="862">
    <w:name w:val="toc 3"/>
    <w:basedOn w:val="844"/>
    <w:next w:val="844"/>
    <w:uiPriority w:val="39"/>
    <w:unhideWhenUsed/>
    <w:qFormat/>
    <w:pPr>
      <w:ind w:left="567" w:right="0" w:firstLine="0"/>
      <w:spacing w:after="57"/>
    </w:pPr>
  </w:style>
  <w:style w:type="paragraph" w:styleId="863">
    <w:name w:val="Plain Text"/>
    <w:basedOn w:val="844"/>
    <w:uiPriority w:val="0"/>
    <w:qFormat/>
    <w:rPr>
      <w:rFonts w:hint="eastAsia" w:ascii="宋体" w:hAnsi="Courier New"/>
      <w:szCs w:val="20"/>
    </w:rPr>
  </w:style>
  <w:style w:type="paragraph" w:styleId="864">
    <w:name w:val="toc 8"/>
    <w:basedOn w:val="844"/>
    <w:next w:val="844"/>
    <w:uiPriority w:val="39"/>
    <w:unhideWhenUsed/>
    <w:qFormat/>
    <w:pPr>
      <w:ind w:left="1984" w:right="0" w:firstLine="0"/>
      <w:spacing w:after="57"/>
    </w:pPr>
  </w:style>
  <w:style w:type="paragraph" w:styleId="865">
    <w:name w:val="endnote text"/>
    <w:basedOn w:val="844"/>
    <w:link w:val="1030"/>
    <w:uiPriority w:val="99"/>
    <w:semiHidden/>
    <w:unhideWhenUsed/>
    <w:qFormat/>
    <w:pPr>
      <w:spacing w:after="0" w:line="240" w:lineRule="auto"/>
    </w:pPr>
    <w:rPr>
      <w:sz w:val="20"/>
    </w:rPr>
  </w:style>
  <w:style w:type="paragraph" w:styleId="866">
    <w:name w:val="Footer"/>
    <w:basedOn w:val="844"/>
    <w:link w:val="903"/>
    <w:uiPriority w:val="99"/>
    <w:unhideWhenUsed/>
    <w:qFormat/>
    <w:pPr>
      <w:spacing w:after="0" w:line="240" w:lineRule="auto"/>
      <w:tabs>
        <w:tab w:val="center" w:pos="7143" w:leader="none"/>
        <w:tab w:val="right" w:pos="14287" w:leader="none"/>
      </w:tabs>
    </w:pPr>
  </w:style>
  <w:style w:type="paragraph" w:styleId="867">
    <w:name w:val="Header"/>
    <w:basedOn w:val="844"/>
    <w:link w:val="901"/>
    <w:uiPriority w:val="99"/>
    <w:unhideWhenUsed/>
    <w:qFormat/>
    <w:pPr>
      <w:spacing w:after="0" w:line="240" w:lineRule="auto"/>
      <w:tabs>
        <w:tab w:val="center" w:pos="7143" w:leader="none"/>
        <w:tab w:val="right" w:pos="14287" w:leader="none"/>
      </w:tabs>
    </w:pPr>
  </w:style>
  <w:style w:type="paragraph" w:styleId="868">
    <w:name w:val="toc 1"/>
    <w:basedOn w:val="844"/>
    <w:next w:val="844"/>
    <w:uiPriority w:val="39"/>
    <w:unhideWhenUsed/>
    <w:qFormat/>
    <w:pPr>
      <w:ind w:left="0" w:right="0" w:firstLine="0"/>
      <w:spacing w:after="57"/>
    </w:pPr>
  </w:style>
  <w:style w:type="paragraph" w:styleId="869">
    <w:name w:val="toc 4"/>
    <w:basedOn w:val="844"/>
    <w:next w:val="844"/>
    <w:uiPriority w:val="39"/>
    <w:unhideWhenUsed/>
    <w:qFormat/>
    <w:pPr>
      <w:ind w:left="850" w:right="0" w:firstLine="0"/>
      <w:spacing w:after="57"/>
    </w:pPr>
  </w:style>
  <w:style w:type="paragraph" w:styleId="870">
    <w:name w:val="Subtitle"/>
    <w:basedOn w:val="844"/>
    <w:next w:val="844"/>
    <w:link w:val="896"/>
    <w:uiPriority w:val="11"/>
    <w:qFormat/>
    <w:pPr>
      <w:spacing w:before="200" w:after="200"/>
    </w:pPr>
    <w:rPr>
      <w:sz w:val="24"/>
      <w:szCs w:val="24"/>
    </w:rPr>
  </w:style>
  <w:style w:type="paragraph" w:styleId="871">
    <w:name w:val="footnote text"/>
    <w:basedOn w:val="844"/>
    <w:link w:val="1029"/>
    <w:uiPriority w:val="99"/>
    <w:semiHidden/>
    <w:unhideWhenUsed/>
    <w:qFormat/>
    <w:pPr>
      <w:spacing w:after="40" w:line="240" w:lineRule="auto"/>
    </w:pPr>
    <w:rPr>
      <w:sz w:val="18"/>
    </w:rPr>
  </w:style>
  <w:style w:type="paragraph" w:styleId="872">
    <w:name w:val="toc 6"/>
    <w:basedOn w:val="844"/>
    <w:next w:val="844"/>
    <w:uiPriority w:val="39"/>
    <w:unhideWhenUsed/>
    <w:qFormat/>
    <w:pPr>
      <w:ind w:left="1417" w:right="0" w:firstLine="0"/>
      <w:spacing w:after="57"/>
    </w:pPr>
  </w:style>
  <w:style w:type="paragraph" w:styleId="873">
    <w:name w:val="table of figures"/>
    <w:basedOn w:val="844"/>
    <w:next w:val="844"/>
    <w:uiPriority w:val="99"/>
    <w:unhideWhenUsed/>
    <w:qFormat/>
    <w:pPr>
      <w:spacing w:after="0" w:afterAutospacing="0"/>
    </w:pPr>
  </w:style>
  <w:style w:type="paragraph" w:styleId="874">
    <w:name w:val="toc 2"/>
    <w:basedOn w:val="844"/>
    <w:next w:val="844"/>
    <w:uiPriority w:val="39"/>
    <w:unhideWhenUsed/>
    <w:qFormat/>
    <w:pPr>
      <w:ind w:left="283" w:right="0" w:firstLine="0"/>
      <w:spacing w:after="57"/>
    </w:pPr>
  </w:style>
  <w:style w:type="paragraph" w:styleId="875">
    <w:name w:val="toc 9"/>
    <w:basedOn w:val="844"/>
    <w:next w:val="844"/>
    <w:uiPriority w:val="39"/>
    <w:unhideWhenUsed/>
    <w:qFormat/>
    <w:pPr>
      <w:ind w:left="2268" w:right="0" w:firstLine="0"/>
      <w:spacing w:after="57"/>
    </w:pPr>
  </w:style>
  <w:style w:type="paragraph" w:styleId="876">
    <w:name w:val="Normal (Web)"/>
    <w:basedOn w:val="844"/>
    <w:uiPriority w:val="99"/>
    <w:unhideWhenUsed/>
    <w:qFormat/>
    <w:pPr>
      <w:jc w:val="left"/>
      <w:spacing w:before="100" w:beforeAutospacing="1" w:after="100" w:afterAutospacing="1"/>
      <w:widowControl/>
    </w:pPr>
    <w:rPr>
      <w:rFonts w:ascii="宋体" w:hAnsi="宋体" w:cs="宋体"/>
      <w:sz w:val="24"/>
      <w:szCs w:val="24"/>
    </w:rPr>
  </w:style>
  <w:style w:type="paragraph" w:styleId="877">
    <w:name w:val="Title"/>
    <w:basedOn w:val="844"/>
    <w:next w:val="844"/>
    <w:link w:val="895"/>
    <w:uiPriority w:val="10"/>
    <w:qFormat/>
    <w:pPr>
      <w:contextualSpacing/>
      <w:spacing w:before="300" w:after="200"/>
    </w:pPr>
    <w:rPr>
      <w:sz w:val="48"/>
      <w:szCs w:val="48"/>
    </w:rPr>
  </w:style>
  <w:style w:type="paragraph" w:styleId="878">
    <w:name w:val="Body Text First Indent 2"/>
    <w:basedOn w:val="860"/>
    <w:next w:val="844"/>
    <w:uiPriority w:val="0"/>
    <w:qFormat/>
    <w:pPr>
      <w:ind w:left="420" w:firstLine="420"/>
      <w:spacing w:after="120" w:line="480" w:lineRule="exact"/>
    </w:pPr>
    <w:rPr>
      <w:szCs w:val="20"/>
    </w:rPr>
  </w:style>
  <w:style w:type="table" w:styleId="87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0">
    <w:name w:val="endnote reference"/>
    <w:uiPriority w:val="99"/>
    <w:semiHidden/>
    <w:unhideWhenUsed/>
    <w:qFormat/>
    <w:rPr>
      <w:vertAlign w:val="superscript"/>
    </w:rPr>
  </w:style>
  <w:style w:type="character" w:styleId="881">
    <w:name w:val="Hyperlink"/>
    <w:uiPriority w:val="99"/>
    <w:unhideWhenUsed/>
    <w:qFormat/>
    <w:rPr>
      <w:color w:val="0000ff" w:themeColor="hyperlink"/>
      <w:u w:val="single"/>
    </w:rPr>
  </w:style>
  <w:style w:type="character" w:styleId="882">
    <w:name w:val="footnote reference"/>
    <w:uiPriority w:val="99"/>
    <w:unhideWhenUsed/>
    <w:qFormat/>
    <w:rPr>
      <w:vertAlign w:val="superscript"/>
    </w:rPr>
  </w:style>
  <w:style w:type="paragraph" w:styleId="883" w:customStyle="1">
    <w:name w:val="段"/>
    <w:next w:val="844"/>
    <w:uiPriority w:val="0"/>
    <w:qFormat/>
    <w:pPr>
      <w:ind w:firstLine="200"/>
      <w:jc w:val="both"/>
    </w:pPr>
    <w:rPr>
      <w:rFonts w:hint="default" w:ascii="宋体" w:hAnsi="Times New Roman" w:eastAsia="宋体" w:cs="Times New Roman"/>
      <w:sz w:val="21"/>
      <w:szCs w:val="22"/>
      <w:lang w:val="en-US" w:eastAsia="zh-CN" w:bidi="ar-SA"/>
    </w:rPr>
  </w:style>
  <w:style w:type="character" w:styleId="884" w:customStyle="1">
    <w:name w:val="Heading 1 Char"/>
    <w:link w:val="845"/>
    <w:uiPriority w:val="9"/>
    <w:qFormat/>
    <w:rPr>
      <w:rFonts w:ascii="Arial" w:hAnsi="Arial" w:eastAsia="Arial" w:cs="Arial"/>
      <w:sz w:val="40"/>
      <w:szCs w:val="40"/>
    </w:rPr>
  </w:style>
  <w:style w:type="character" w:styleId="885" w:customStyle="1">
    <w:name w:val="Heading 2 Char"/>
    <w:link w:val="846"/>
    <w:uiPriority w:val="9"/>
    <w:qFormat/>
    <w:rPr>
      <w:rFonts w:ascii="Arial" w:hAnsi="Arial" w:eastAsia="Arial" w:cs="Arial"/>
      <w:sz w:val="34"/>
    </w:rPr>
  </w:style>
  <w:style w:type="character" w:styleId="886" w:customStyle="1">
    <w:name w:val="Heading 3 Char"/>
    <w:link w:val="847"/>
    <w:uiPriority w:val="9"/>
    <w:qFormat/>
    <w:rPr>
      <w:rFonts w:ascii="Arial" w:hAnsi="Arial" w:eastAsia="Arial" w:cs="Arial"/>
      <w:sz w:val="30"/>
      <w:szCs w:val="30"/>
    </w:rPr>
  </w:style>
  <w:style w:type="character" w:styleId="887" w:customStyle="1">
    <w:name w:val="Heading 4 Char"/>
    <w:link w:val="848"/>
    <w:uiPriority w:val="9"/>
    <w:qFormat/>
    <w:rPr>
      <w:rFonts w:ascii="Arial" w:hAnsi="Arial" w:eastAsia="Arial" w:cs="Arial"/>
      <w:b/>
      <w:bCs/>
      <w:sz w:val="26"/>
      <w:szCs w:val="26"/>
    </w:rPr>
  </w:style>
  <w:style w:type="character" w:styleId="888" w:customStyle="1">
    <w:name w:val="Heading 5 Char"/>
    <w:link w:val="849"/>
    <w:uiPriority w:val="9"/>
    <w:qFormat/>
    <w:rPr>
      <w:rFonts w:ascii="Arial" w:hAnsi="Arial" w:eastAsia="Arial" w:cs="Arial"/>
      <w:b/>
      <w:bCs/>
      <w:sz w:val="24"/>
      <w:szCs w:val="24"/>
    </w:rPr>
  </w:style>
  <w:style w:type="character" w:styleId="889" w:customStyle="1">
    <w:name w:val="Heading 6 Char"/>
    <w:link w:val="850"/>
    <w:uiPriority w:val="9"/>
    <w:qFormat/>
    <w:rPr>
      <w:rFonts w:ascii="Arial" w:hAnsi="Arial" w:eastAsia="Arial" w:cs="Arial"/>
      <w:b/>
      <w:bCs/>
      <w:sz w:val="22"/>
      <w:szCs w:val="22"/>
    </w:rPr>
  </w:style>
  <w:style w:type="character" w:styleId="890" w:customStyle="1">
    <w:name w:val="Heading 7 Char"/>
    <w:link w:val="851"/>
    <w:uiPriority w:val="9"/>
    <w:qFormat/>
    <w:rPr>
      <w:rFonts w:ascii="Arial" w:hAnsi="Arial" w:eastAsia="Arial" w:cs="Arial"/>
      <w:b/>
      <w:bCs/>
      <w:i/>
      <w:iCs/>
      <w:sz w:val="22"/>
      <w:szCs w:val="22"/>
    </w:rPr>
  </w:style>
  <w:style w:type="character" w:styleId="891" w:customStyle="1">
    <w:name w:val="Heading 8 Char"/>
    <w:link w:val="852"/>
    <w:uiPriority w:val="9"/>
    <w:qFormat/>
    <w:rPr>
      <w:rFonts w:ascii="Arial" w:hAnsi="Arial" w:eastAsia="Arial" w:cs="Arial"/>
      <w:i/>
      <w:iCs/>
      <w:sz w:val="22"/>
      <w:szCs w:val="22"/>
    </w:rPr>
  </w:style>
  <w:style w:type="character" w:styleId="892" w:customStyle="1">
    <w:name w:val="Heading 9 Char"/>
    <w:link w:val="853"/>
    <w:uiPriority w:val="9"/>
    <w:qFormat/>
    <w:rPr>
      <w:rFonts w:ascii="Arial" w:hAnsi="Arial" w:eastAsia="Arial" w:cs="Arial"/>
      <w:i/>
      <w:iCs/>
      <w:sz w:val="21"/>
      <w:szCs w:val="21"/>
    </w:rPr>
  </w:style>
  <w:style w:type="paragraph" w:styleId="893">
    <w:name w:val="List Paragraph"/>
    <w:basedOn w:val="844"/>
    <w:uiPriority w:val="34"/>
    <w:qFormat/>
    <w:pPr>
      <w:contextualSpacing/>
      <w:ind w:left="720"/>
    </w:pPr>
  </w:style>
  <w:style w:type="paragraph" w:styleId="894">
    <w:name w:val="No Spacing"/>
    <w:uiPriority w:val="1"/>
    <w:qFormat/>
    <w:pPr>
      <w:spacing w:before="0" w:after="0" w:line="240" w:lineRule="auto"/>
    </w:pPr>
    <w:rPr>
      <w:rFonts w:hint="default" w:ascii="Times New Roman" w:hAnsi="Times New Roman" w:eastAsia="宋体" w:cs="Times New Roman"/>
    </w:rPr>
  </w:style>
  <w:style w:type="character" w:styleId="895" w:customStyle="1">
    <w:name w:val="Title Char"/>
    <w:link w:val="877"/>
    <w:uiPriority w:val="10"/>
    <w:qFormat/>
    <w:rPr>
      <w:sz w:val="48"/>
      <w:szCs w:val="48"/>
    </w:rPr>
  </w:style>
  <w:style w:type="character" w:styleId="896" w:customStyle="1">
    <w:name w:val="Subtitle Char"/>
    <w:link w:val="870"/>
    <w:uiPriority w:val="11"/>
    <w:qFormat/>
    <w:rPr>
      <w:sz w:val="24"/>
      <w:szCs w:val="24"/>
    </w:rPr>
  </w:style>
  <w:style w:type="paragraph" w:styleId="897">
    <w:name w:val="Quote"/>
    <w:basedOn w:val="844"/>
    <w:next w:val="844"/>
    <w:link w:val="898"/>
    <w:uiPriority w:val="29"/>
    <w:qFormat/>
    <w:pPr>
      <w:ind w:left="720" w:right="720"/>
    </w:pPr>
    <w:rPr>
      <w:i/>
    </w:rPr>
  </w:style>
  <w:style w:type="character" w:styleId="898" w:customStyle="1">
    <w:name w:val="Quote Char"/>
    <w:link w:val="897"/>
    <w:uiPriority w:val="29"/>
    <w:qFormat/>
    <w:rPr>
      <w:i/>
    </w:rPr>
  </w:style>
  <w:style w:type="paragraph" w:styleId="899">
    <w:name w:val="Intense Quote"/>
    <w:basedOn w:val="844"/>
    <w:next w:val="844"/>
    <w:link w:val="9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0" w:customStyle="1">
    <w:name w:val="Intense Quote Char"/>
    <w:link w:val="899"/>
    <w:uiPriority w:val="30"/>
    <w:qFormat/>
    <w:rPr>
      <w:i/>
    </w:rPr>
  </w:style>
  <w:style w:type="character" w:styleId="901" w:customStyle="1">
    <w:name w:val="Header Char"/>
    <w:link w:val="867"/>
    <w:uiPriority w:val="99"/>
    <w:qFormat/>
  </w:style>
  <w:style w:type="character" w:styleId="902" w:customStyle="1">
    <w:name w:val="Footer Char"/>
    <w:link w:val="866"/>
    <w:uiPriority w:val="99"/>
    <w:qFormat/>
  </w:style>
  <w:style w:type="character" w:styleId="903" w:customStyle="1">
    <w:name w:val="Caption Char"/>
    <w:link w:val="866"/>
    <w:uiPriority w:val="99"/>
    <w:qFormat/>
  </w:style>
  <w:style w:type="table" w:styleId="90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2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2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3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3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94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4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94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94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5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5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5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5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6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8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8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9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9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9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9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9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9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9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9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9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9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100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100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9" w:customStyle="1">
    <w:name w:val="Footnote Text Char"/>
    <w:link w:val="871"/>
    <w:uiPriority w:val="99"/>
    <w:qFormat/>
    <w:rPr>
      <w:sz w:val="18"/>
    </w:rPr>
  </w:style>
  <w:style w:type="character" w:styleId="1030" w:customStyle="1">
    <w:name w:val="Endnote Text Char"/>
    <w:link w:val="865"/>
    <w:uiPriority w:val="99"/>
    <w:qFormat/>
    <w:rPr>
      <w:sz w:val="20"/>
    </w:rPr>
  </w:style>
  <w:style w:type="paragraph" w:styleId="1031" w:customStyle="1">
    <w:name w:val="TOC Heading"/>
    <w:uiPriority w:val="39"/>
    <w:unhideWhenUsed/>
    <w:qFormat/>
    <w:rPr>
      <w:rFonts w:hint="default" w:ascii="Times New Roman" w:hAnsi="Times New Roman" w:eastAsia="宋体" w:cs="Times New Roman"/>
    </w:rPr>
  </w:style>
  <w:style w:type="paragraph" w:styleId="1032" w:customStyle="1">
    <w:name w:val="标题 11"/>
    <w:basedOn w:val="844"/>
    <w:next w:val="844"/>
    <w:link w:val="1044"/>
    <w:uiPriority w:val="0"/>
    <w:qFormat/>
    <w:pPr>
      <w:jc w:val="center"/>
      <w:keepLines/>
      <w:keepNext/>
      <w:spacing w:before="240" w:after="120" w:line="300" w:lineRule="auto"/>
      <w:outlineLvl w:val="0"/>
    </w:pPr>
    <w:rPr>
      <w:rFonts w:ascii="宋体"/>
      <w:b/>
      <w:sz w:val="32"/>
      <w:szCs w:val="20"/>
    </w:rPr>
  </w:style>
  <w:style w:type="paragraph" w:styleId="1033" w:customStyle="1">
    <w:name w:val="标题 21"/>
    <w:basedOn w:val="844"/>
    <w:next w:val="844"/>
    <w:link w:val="1045"/>
    <w:uiPriority w:val="0"/>
    <w:qFormat/>
    <w:pPr>
      <w:jc w:val="center"/>
      <w:keepLines/>
      <w:keepNext/>
      <w:spacing w:before="120" w:line="300" w:lineRule="auto"/>
      <w:outlineLvl w:val="1"/>
    </w:pPr>
    <w:rPr>
      <w:rFonts w:ascii="Arial" w:hAnsi="Arial" w:eastAsia="黑体"/>
      <w:b/>
      <w:sz w:val="30"/>
      <w:szCs w:val="20"/>
    </w:rPr>
  </w:style>
  <w:style w:type="paragraph" w:styleId="1034" w:customStyle="1">
    <w:name w:val="标题 31"/>
    <w:basedOn w:val="844"/>
    <w:next w:val="1035"/>
    <w:link w:val="1046"/>
    <w:uiPriority w:val="0"/>
    <w:qFormat/>
    <w:pPr>
      <w:jc w:val="left"/>
      <w:keepLines/>
      <w:keepNext/>
      <w:spacing w:before="360" w:after="120"/>
      <w:outlineLvl w:val="2"/>
    </w:pPr>
    <w:rPr>
      <w:rFonts w:ascii="宋体"/>
      <w:b/>
      <w:sz w:val="24"/>
      <w:szCs w:val="20"/>
      <w:u w:val="single"/>
    </w:rPr>
  </w:style>
  <w:style w:type="paragraph" w:styleId="1035" w:customStyle="1">
    <w:name w:val="正文缩进11"/>
    <w:basedOn w:val="844"/>
    <w:link w:val="1047"/>
    <w:uiPriority w:val="0"/>
    <w:qFormat/>
    <w:pPr>
      <w:ind w:firstLine="420"/>
      <w:jc w:val="left"/>
    </w:pPr>
    <w:rPr>
      <w:rFonts w:ascii="宋体"/>
      <w:sz w:val="24"/>
    </w:rPr>
  </w:style>
  <w:style w:type="paragraph" w:styleId="1036" w:customStyle="1">
    <w:name w:val="标题 41"/>
    <w:basedOn w:val="844"/>
    <w:next w:val="844"/>
    <w:link w:val="1048"/>
    <w:uiPriority w:val="0"/>
    <w:qFormat/>
    <w:pPr>
      <w:keepLines/>
      <w:keepNext/>
      <w:spacing w:before="280" w:after="290" w:line="376" w:lineRule="atLeast"/>
      <w:outlineLvl w:val="3"/>
    </w:pPr>
    <w:rPr>
      <w:rFonts w:ascii="Arial" w:hAnsi="Arial" w:eastAsia="黑体"/>
      <w:b/>
      <w:sz w:val="28"/>
      <w:szCs w:val="20"/>
    </w:rPr>
  </w:style>
  <w:style w:type="paragraph" w:styleId="1037" w:customStyle="1">
    <w:name w:val="标题 51"/>
    <w:basedOn w:val="844"/>
    <w:next w:val="844"/>
    <w:link w:val="1049"/>
    <w:uiPriority w:val="0"/>
    <w:qFormat/>
    <w:pPr>
      <w:keepLines/>
      <w:keepNext/>
      <w:spacing w:before="280" w:after="290" w:line="376" w:lineRule="atLeast"/>
      <w:outlineLvl w:val="4"/>
    </w:pPr>
    <w:rPr>
      <w:b/>
      <w:sz w:val="28"/>
      <w:szCs w:val="20"/>
    </w:rPr>
  </w:style>
  <w:style w:type="paragraph" w:styleId="1038" w:customStyle="1">
    <w:name w:val="标题 61"/>
    <w:basedOn w:val="844"/>
    <w:next w:val="844"/>
    <w:link w:val="1050"/>
    <w:uiPriority w:val="0"/>
    <w:qFormat/>
    <w:pPr>
      <w:keepLines/>
      <w:keepNext/>
      <w:spacing w:before="240" w:after="64" w:line="320" w:lineRule="atLeast"/>
      <w:outlineLvl w:val="5"/>
    </w:pPr>
    <w:rPr>
      <w:rFonts w:ascii="Arial" w:hAnsi="Arial" w:eastAsia="黑体"/>
      <w:b/>
      <w:sz w:val="24"/>
      <w:szCs w:val="20"/>
    </w:rPr>
  </w:style>
  <w:style w:type="paragraph" w:styleId="1039" w:customStyle="1">
    <w:name w:val="标题 71"/>
    <w:basedOn w:val="844"/>
    <w:next w:val="844"/>
    <w:link w:val="1051"/>
    <w:uiPriority w:val="0"/>
    <w:qFormat/>
    <w:pPr>
      <w:keepLines/>
      <w:keepNext/>
      <w:spacing w:before="240" w:after="64" w:line="320" w:lineRule="atLeast"/>
      <w:outlineLvl w:val="6"/>
    </w:pPr>
    <w:rPr>
      <w:b/>
      <w:sz w:val="24"/>
      <w:szCs w:val="20"/>
    </w:rPr>
  </w:style>
  <w:style w:type="paragraph" w:styleId="1040" w:customStyle="1">
    <w:name w:val="标题 81"/>
    <w:basedOn w:val="844"/>
    <w:next w:val="844"/>
    <w:link w:val="1052"/>
    <w:uiPriority w:val="0"/>
    <w:qFormat/>
    <w:pPr>
      <w:keepLines/>
      <w:keepNext/>
      <w:spacing w:before="240" w:after="64" w:line="320" w:lineRule="atLeast"/>
      <w:outlineLvl w:val="7"/>
    </w:pPr>
    <w:rPr>
      <w:rFonts w:ascii="Arial" w:hAnsi="Arial" w:eastAsia="黑体"/>
      <w:sz w:val="24"/>
      <w:szCs w:val="20"/>
    </w:rPr>
  </w:style>
  <w:style w:type="paragraph" w:styleId="1041" w:customStyle="1">
    <w:name w:val="标题 91"/>
    <w:basedOn w:val="844"/>
    <w:next w:val="844"/>
    <w:link w:val="1053"/>
    <w:uiPriority w:val="0"/>
    <w:qFormat/>
    <w:pPr>
      <w:keepLines/>
      <w:keepNext/>
      <w:spacing w:before="240" w:after="64" w:line="320" w:lineRule="atLeast"/>
      <w:outlineLvl w:val="8"/>
    </w:pPr>
    <w:rPr>
      <w:rFonts w:ascii="Arial" w:hAnsi="Arial" w:eastAsia="黑体"/>
      <w:szCs w:val="20"/>
    </w:rPr>
  </w:style>
  <w:style w:type="character" w:styleId="1042" w:customStyle="1">
    <w:name w:val="默认段落字体1"/>
    <w:link w:val="844"/>
    <w:uiPriority w:val="1"/>
    <w:unhideWhenUsed/>
    <w:qFormat/>
  </w:style>
  <w:style w:type="table" w:styleId="1043" w:customStyle="1">
    <w:name w:val="普通表格1"/>
    <w:uiPriority w:val="99"/>
    <w:unhideWhenUsed/>
    <w:qFormat/>
    <w:tblPr/>
  </w:style>
  <w:style w:type="character" w:styleId="1044" w:customStyle="1">
    <w:name w:val="标题 1 Char"/>
    <w:basedOn w:val="1042"/>
    <w:link w:val="1032"/>
    <w:uiPriority w:val="0"/>
    <w:qFormat/>
    <w:rPr>
      <w:rFonts w:ascii="宋体"/>
      <w:b/>
      <w:sz w:val="32"/>
    </w:rPr>
  </w:style>
  <w:style w:type="character" w:styleId="1045" w:customStyle="1">
    <w:name w:val="标题 2 Char1"/>
    <w:link w:val="1033"/>
    <w:uiPriority w:val="0"/>
    <w:qFormat/>
    <w:rPr>
      <w:rFonts w:ascii="Arial" w:hAnsi="Arial" w:eastAsia="黑体"/>
      <w:b/>
      <w:sz w:val="30"/>
      <w:lang w:val="en-US" w:eastAsia="zh-CN" w:bidi="ar-SA"/>
    </w:rPr>
  </w:style>
  <w:style w:type="character" w:styleId="1046" w:customStyle="1">
    <w:name w:val="标题 3 Char1"/>
    <w:link w:val="1034"/>
    <w:uiPriority w:val="0"/>
    <w:qFormat/>
    <w:rPr>
      <w:rFonts w:ascii="宋体" w:eastAsia="宋体"/>
      <w:b/>
      <w:sz w:val="24"/>
      <w:u w:val="single"/>
      <w:lang w:val="en-US" w:eastAsia="zh-CN" w:bidi="ar-SA"/>
    </w:rPr>
  </w:style>
  <w:style w:type="character" w:styleId="1047" w:customStyle="1">
    <w:name w:val="正文缩进 Char1"/>
    <w:link w:val="1035"/>
    <w:uiPriority w:val="0"/>
    <w:qFormat/>
    <w:rPr>
      <w:rFonts w:ascii="宋体" w:eastAsia="宋体"/>
      <w:sz w:val="24"/>
      <w:szCs w:val="24"/>
      <w:lang w:val="en-US" w:eastAsia="zh-CN" w:bidi="ar-SA"/>
    </w:rPr>
  </w:style>
  <w:style w:type="character" w:styleId="1048" w:customStyle="1">
    <w:name w:val="标题 4 Char"/>
    <w:basedOn w:val="1042"/>
    <w:link w:val="1036"/>
    <w:uiPriority w:val="0"/>
    <w:qFormat/>
    <w:rPr>
      <w:rFonts w:ascii="Arial" w:hAnsi="Arial" w:eastAsia="黑体"/>
      <w:b/>
      <w:sz w:val="28"/>
    </w:rPr>
  </w:style>
  <w:style w:type="character" w:styleId="1049" w:customStyle="1">
    <w:name w:val="标题 5 Char"/>
    <w:basedOn w:val="1042"/>
    <w:link w:val="1037"/>
    <w:uiPriority w:val="0"/>
    <w:qFormat/>
    <w:rPr>
      <w:b/>
      <w:sz w:val="28"/>
    </w:rPr>
  </w:style>
  <w:style w:type="character" w:styleId="1050" w:customStyle="1">
    <w:name w:val="标题 6 Char"/>
    <w:basedOn w:val="1042"/>
    <w:link w:val="1038"/>
    <w:uiPriority w:val="0"/>
    <w:qFormat/>
    <w:rPr>
      <w:rFonts w:ascii="Arial" w:hAnsi="Arial" w:eastAsia="黑体"/>
      <w:b/>
      <w:sz w:val="24"/>
    </w:rPr>
  </w:style>
  <w:style w:type="character" w:styleId="1051" w:customStyle="1">
    <w:name w:val="标题 7 Char"/>
    <w:basedOn w:val="1042"/>
    <w:link w:val="1039"/>
    <w:uiPriority w:val="0"/>
    <w:qFormat/>
    <w:rPr>
      <w:b/>
      <w:sz w:val="24"/>
    </w:rPr>
  </w:style>
  <w:style w:type="character" w:styleId="1052" w:customStyle="1">
    <w:name w:val="标题 8 Char"/>
    <w:basedOn w:val="1042"/>
    <w:link w:val="1040"/>
    <w:uiPriority w:val="0"/>
    <w:qFormat/>
    <w:rPr>
      <w:rFonts w:ascii="Arial" w:hAnsi="Arial" w:eastAsia="黑体"/>
      <w:sz w:val="24"/>
    </w:rPr>
  </w:style>
  <w:style w:type="character" w:styleId="1053" w:customStyle="1">
    <w:name w:val="标题 9 Char"/>
    <w:basedOn w:val="1042"/>
    <w:link w:val="1041"/>
    <w:uiPriority w:val="0"/>
    <w:qFormat/>
    <w:rPr>
      <w:rFonts w:ascii="Arial" w:hAnsi="Arial" w:eastAsia="黑体"/>
      <w:sz w:val="21"/>
    </w:rPr>
  </w:style>
  <w:style w:type="paragraph" w:styleId="1054" w:customStyle="1">
    <w:name w:val="目录 71"/>
    <w:basedOn w:val="844"/>
    <w:next w:val="844"/>
    <w:uiPriority w:val="0"/>
    <w:qFormat/>
    <w:pPr>
      <w:ind w:left="2520"/>
    </w:pPr>
  </w:style>
  <w:style w:type="paragraph" w:styleId="1055" w:customStyle="1">
    <w:name w:val="题注1"/>
    <w:basedOn w:val="844"/>
    <w:next w:val="844"/>
    <w:uiPriority w:val="0"/>
    <w:qFormat/>
    <w:pPr>
      <w:spacing w:line="480" w:lineRule="auto"/>
    </w:pPr>
    <w:rPr>
      <w:rFonts w:ascii="华文中宋" w:hAnsi="华文中宋" w:eastAsia="华文中宋"/>
      <w:sz w:val="36"/>
      <w:szCs w:val="20"/>
    </w:rPr>
  </w:style>
  <w:style w:type="paragraph" w:styleId="1056" w:customStyle="1">
    <w:name w:val="文档结构图1"/>
    <w:basedOn w:val="844"/>
    <w:link w:val="1057"/>
    <w:uiPriority w:val="0"/>
    <w:qFormat/>
    <w:pPr>
      <w:shd w:val="clear" w:color="auto" w:fill="000080"/>
    </w:pPr>
  </w:style>
  <w:style w:type="character" w:styleId="1057" w:customStyle="1">
    <w:name w:val="文档结构图 Char"/>
    <w:basedOn w:val="1042"/>
    <w:link w:val="1056"/>
    <w:uiPriority w:val="0"/>
    <w:qFormat/>
    <w:rPr>
      <w:sz w:val="21"/>
      <w:szCs w:val="24"/>
      <w:shd w:val="clear" w:color="auto" w:fill="000080"/>
    </w:rPr>
  </w:style>
  <w:style w:type="paragraph" w:styleId="1058" w:customStyle="1">
    <w:name w:val="批注文字1"/>
    <w:basedOn w:val="844"/>
    <w:link w:val="1059"/>
    <w:uiPriority w:val="99"/>
    <w:qFormat/>
    <w:pPr>
      <w:jc w:val="left"/>
    </w:pPr>
  </w:style>
  <w:style w:type="character" w:styleId="1059" w:customStyle="1">
    <w:name w:val="批注文字 Char1"/>
    <w:link w:val="1058"/>
    <w:uiPriority w:val="99"/>
    <w:qFormat/>
    <w:rPr>
      <w:sz w:val="21"/>
      <w:szCs w:val="24"/>
    </w:rPr>
  </w:style>
  <w:style w:type="paragraph" w:styleId="1060" w:customStyle="1">
    <w:name w:val="正文文本 31"/>
    <w:basedOn w:val="844"/>
    <w:link w:val="1061"/>
    <w:uiPriority w:val="0"/>
    <w:qFormat/>
    <w:pPr>
      <w:spacing w:after="120"/>
    </w:pPr>
    <w:rPr>
      <w:sz w:val="16"/>
      <w:szCs w:val="16"/>
    </w:rPr>
  </w:style>
  <w:style w:type="character" w:styleId="1061" w:customStyle="1">
    <w:name w:val="正文文本 3 Char"/>
    <w:basedOn w:val="1042"/>
    <w:link w:val="1060"/>
    <w:uiPriority w:val="0"/>
    <w:qFormat/>
    <w:rPr>
      <w:sz w:val="16"/>
      <w:szCs w:val="16"/>
    </w:rPr>
  </w:style>
  <w:style w:type="paragraph" w:styleId="1062" w:customStyle="1">
    <w:name w:val="正文文本1"/>
    <w:basedOn w:val="844"/>
    <w:link w:val="1063"/>
    <w:uiPriority w:val="0"/>
    <w:qFormat/>
    <w:pPr>
      <w:spacing w:before="120" w:line="22" w:lineRule="atLeast"/>
      <w:tabs>
        <w:tab w:val="left" w:pos="567" w:leader="none"/>
      </w:tabs>
    </w:pPr>
    <w:rPr>
      <w:rFonts w:ascii="宋体" w:hAnsi="宋体"/>
      <w:sz w:val="24"/>
    </w:rPr>
  </w:style>
  <w:style w:type="character" w:styleId="1063" w:customStyle="1">
    <w:name w:val="正文文本 Char"/>
    <w:basedOn w:val="1042"/>
    <w:link w:val="1062"/>
    <w:uiPriority w:val="0"/>
    <w:qFormat/>
    <w:rPr>
      <w:rFonts w:ascii="宋体" w:hAnsi="宋体"/>
      <w:sz w:val="24"/>
      <w:szCs w:val="24"/>
    </w:rPr>
  </w:style>
  <w:style w:type="paragraph" w:styleId="1064" w:customStyle="1">
    <w:name w:val="正文文本缩进11"/>
    <w:basedOn w:val="844"/>
    <w:link w:val="1065"/>
    <w:uiPriority w:val="0"/>
    <w:qFormat/>
    <w:pPr>
      <w:ind w:firstLine="570"/>
      <w:spacing w:line="360" w:lineRule="auto"/>
    </w:pPr>
    <w:rPr>
      <w:sz w:val="24"/>
    </w:rPr>
  </w:style>
  <w:style w:type="character" w:styleId="1065" w:customStyle="1">
    <w:name w:val="正文文本缩进 Char2"/>
    <w:link w:val="1064"/>
    <w:uiPriority w:val="0"/>
    <w:qFormat/>
    <w:rPr>
      <w:rFonts w:eastAsia="宋体"/>
      <w:sz w:val="24"/>
      <w:szCs w:val="24"/>
      <w:lang w:val="en-US" w:eastAsia="zh-CN" w:bidi="ar-SA"/>
    </w:rPr>
  </w:style>
  <w:style w:type="paragraph" w:styleId="1066" w:customStyle="1">
    <w:name w:val="列表 21"/>
    <w:basedOn w:val="844"/>
    <w:uiPriority w:val="0"/>
    <w:qFormat/>
    <w:pPr>
      <w:ind w:left="100" w:hanging="200"/>
    </w:pPr>
  </w:style>
  <w:style w:type="paragraph" w:styleId="1067" w:customStyle="1">
    <w:name w:val="文本块1"/>
    <w:basedOn w:val="844"/>
    <w:uiPriority w:val="0"/>
    <w:qFormat/>
    <w:pPr>
      <w:ind w:left="480" w:right="-341" w:firstLine="513"/>
      <w:widowControl/>
    </w:pPr>
    <w:rPr>
      <w:sz w:val="24"/>
      <w:szCs w:val="20"/>
    </w:rPr>
  </w:style>
  <w:style w:type="paragraph" w:styleId="1068" w:customStyle="1">
    <w:name w:val="目录 51"/>
    <w:basedOn w:val="844"/>
    <w:next w:val="844"/>
    <w:uiPriority w:val="0"/>
    <w:qFormat/>
    <w:pPr>
      <w:ind w:left="1680"/>
    </w:pPr>
  </w:style>
  <w:style w:type="paragraph" w:styleId="1069" w:customStyle="1">
    <w:name w:val="目录 31"/>
    <w:basedOn w:val="844"/>
    <w:next w:val="844"/>
    <w:uiPriority w:val="39"/>
    <w:qFormat/>
    <w:pPr>
      <w:ind w:left="840"/>
    </w:pPr>
  </w:style>
  <w:style w:type="paragraph" w:styleId="1070" w:customStyle="1">
    <w:name w:val="纯文本1"/>
    <w:basedOn w:val="844"/>
    <w:link w:val="1071"/>
    <w:uiPriority w:val="0"/>
    <w:qFormat/>
    <w:rPr>
      <w:rFonts w:hint="eastAsia" w:ascii="宋体" w:hAnsi="Courier New"/>
      <w:szCs w:val="20"/>
    </w:rPr>
  </w:style>
  <w:style w:type="character" w:styleId="1071" w:customStyle="1">
    <w:name w:val="纯文本 Char"/>
    <w:basedOn w:val="1042"/>
    <w:link w:val="1070"/>
    <w:uiPriority w:val="0"/>
    <w:qFormat/>
    <w:rPr>
      <w:rFonts w:hint="eastAsia" w:ascii="宋体" w:hAnsi="Courier New" w:eastAsia="宋体" w:cs="宋体"/>
      <w:sz w:val="21"/>
    </w:rPr>
  </w:style>
  <w:style w:type="paragraph" w:styleId="1072" w:customStyle="1">
    <w:name w:val="目录 81"/>
    <w:basedOn w:val="844"/>
    <w:next w:val="844"/>
    <w:uiPriority w:val="0"/>
    <w:qFormat/>
    <w:pPr>
      <w:ind w:left="2940"/>
    </w:pPr>
  </w:style>
  <w:style w:type="paragraph" w:styleId="1073" w:customStyle="1">
    <w:name w:val="日期1"/>
    <w:basedOn w:val="844"/>
    <w:next w:val="844"/>
    <w:link w:val="1074"/>
    <w:uiPriority w:val="0"/>
    <w:qFormat/>
    <w:pPr>
      <w:ind w:left="100"/>
    </w:pPr>
    <w:rPr>
      <w:rFonts w:ascii="仿宋_GB2312" w:hAnsi="宋体" w:eastAsia="仿宋_GB2312"/>
      <w:color w:val="000000"/>
      <w:sz w:val="24"/>
    </w:rPr>
  </w:style>
  <w:style w:type="character" w:styleId="1074" w:customStyle="1">
    <w:name w:val="日期 Char"/>
    <w:basedOn w:val="1042"/>
    <w:link w:val="1073"/>
    <w:uiPriority w:val="0"/>
    <w:qFormat/>
    <w:rPr>
      <w:rFonts w:ascii="仿宋_GB2312" w:hAnsi="宋体" w:eastAsia="仿宋_GB2312"/>
      <w:color w:val="000000"/>
      <w:sz w:val="24"/>
      <w:szCs w:val="24"/>
    </w:rPr>
  </w:style>
  <w:style w:type="paragraph" w:styleId="1075" w:customStyle="1">
    <w:name w:val="正文文本缩进 21"/>
    <w:basedOn w:val="844"/>
    <w:link w:val="1076"/>
    <w:uiPriority w:val="0"/>
    <w:qFormat/>
    <w:pPr>
      <w:ind w:firstLine="480"/>
    </w:pPr>
    <w:rPr>
      <w:rFonts w:ascii="仿宋_GB2312" w:eastAsia="仿宋_GB2312"/>
      <w:sz w:val="24"/>
    </w:rPr>
  </w:style>
  <w:style w:type="character" w:styleId="1076" w:customStyle="1">
    <w:name w:val="正文文本缩进 2 Char"/>
    <w:basedOn w:val="1042"/>
    <w:link w:val="1075"/>
    <w:uiPriority w:val="0"/>
    <w:qFormat/>
    <w:rPr>
      <w:rFonts w:ascii="仿宋_GB2312" w:eastAsia="仿宋_GB2312"/>
      <w:sz w:val="24"/>
      <w:szCs w:val="24"/>
    </w:rPr>
  </w:style>
  <w:style w:type="paragraph" w:styleId="1077" w:customStyle="1">
    <w:name w:val="批注框文本1"/>
    <w:basedOn w:val="844"/>
    <w:link w:val="1078"/>
    <w:uiPriority w:val="0"/>
    <w:qFormat/>
    <w:rPr>
      <w:sz w:val="18"/>
      <w:szCs w:val="18"/>
    </w:rPr>
  </w:style>
  <w:style w:type="character" w:styleId="1078" w:customStyle="1">
    <w:name w:val="批注框文本 Char"/>
    <w:basedOn w:val="1042"/>
    <w:link w:val="1077"/>
    <w:uiPriority w:val="0"/>
    <w:qFormat/>
    <w:rPr>
      <w:sz w:val="18"/>
      <w:szCs w:val="18"/>
    </w:rPr>
  </w:style>
  <w:style w:type="paragraph" w:styleId="1079" w:customStyle="1">
    <w:name w:val="页脚1"/>
    <w:basedOn w:val="844"/>
    <w:link w:val="1080"/>
    <w:uiPriority w:val="99"/>
    <w:qFormat/>
    <w:pPr>
      <w:jc w:val="left"/>
      <w:tabs>
        <w:tab w:val="center" w:pos="4153" w:leader="none"/>
        <w:tab w:val="right" w:pos="8306" w:leader="none"/>
      </w:tabs>
    </w:pPr>
    <w:rPr>
      <w:rFonts w:ascii="宋体"/>
      <w:sz w:val="18"/>
      <w:szCs w:val="20"/>
    </w:rPr>
  </w:style>
  <w:style w:type="character" w:styleId="1080" w:customStyle="1">
    <w:name w:val="页脚 Char1"/>
    <w:link w:val="1079"/>
    <w:uiPriority w:val="99"/>
    <w:qFormat/>
    <w:rPr>
      <w:rFonts w:ascii="宋体" w:eastAsia="宋体"/>
      <w:sz w:val="18"/>
      <w:lang w:val="en-US" w:eastAsia="zh-CN" w:bidi="ar-SA"/>
    </w:rPr>
  </w:style>
  <w:style w:type="paragraph" w:styleId="1081" w:customStyle="1">
    <w:name w:val="页眉1"/>
    <w:basedOn w:val="844"/>
    <w:link w:val="1082"/>
    <w:uiPriority w:val="0"/>
    <w:qFormat/>
    <w:pPr>
      <w:jc w:val="center"/>
      <w:tabs>
        <w:tab w:val="center" w:pos="4153" w:leader="none"/>
        <w:tab w:val="right" w:pos="8306" w:leader="none"/>
      </w:tabs>
      <w:pBdr>
        <w:bottom w:val="single" w:color="000000" w:sz="6" w:space="1"/>
      </w:pBdr>
    </w:pPr>
    <w:rPr>
      <w:sz w:val="18"/>
      <w:szCs w:val="18"/>
    </w:rPr>
  </w:style>
  <w:style w:type="character" w:styleId="1082" w:customStyle="1">
    <w:name w:val="页眉 Char1"/>
    <w:link w:val="1081"/>
    <w:uiPriority w:val="0"/>
    <w:qFormat/>
    <w:rPr>
      <w:rFonts w:eastAsia="宋体"/>
      <w:sz w:val="18"/>
      <w:szCs w:val="18"/>
      <w:lang w:val="en-US" w:eastAsia="zh-CN" w:bidi="ar-SA"/>
    </w:rPr>
  </w:style>
  <w:style w:type="paragraph" w:styleId="1083" w:customStyle="1">
    <w:name w:val="目录 11"/>
    <w:basedOn w:val="844"/>
    <w:next w:val="844"/>
    <w:uiPriority w:val="39"/>
    <w:qFormat/>
    <w:pPr>
      <w:spacing w:line="300" w:lineRule="auto"/>
      <w:tabs>
        <w:tab w:val="left" w:pos="1050" w:leader="none"/>
        <w:tab w:val="right" w:pos="8937" w:leader="dot"/>
      </w:tabs>
    </w:pPr>
    <w:rPr>
      <w:rFonts w:ascii="宋体" w:hAnsi="宋体"/>
      <w:b/>
      <w:sz w:val="24"/>
    </w:rPr>
  </w:style>
  <w:style w:type="paragraph" w:styleId="1084" w:customStyle="1">
    <w:name w:val="目录 41"/>
    <w:basedOn w:val="844"/>
    <w:next w:val="844"/>
    <w:uiPriority w:val="0"/>
    <w:qFormat/>
    <w:pPr>
      <w:ind w:left="1260"/>
    </w:pPr>
  </w:style>
  <w:style w:type="paragraph" w:styleId="1085" w:customStyle="1">
    <w:name w:val="目录 61"/>
    <w:basedOn w:val="844"/>
    <w:next w:val="844"/>
    <w:uiPriority w:val="0"/>
    <w:qFormat/>
    <w:pPr>
      <w:ind w:left="2100"/>
    </w:pPr>
  </w:style>
  <w:style w:type="paragraph" w:styleId="1086" w:customStyle="1">
    <w:name w:val="正文文本缩进 31"/>
    <w:basedOn w:val="844"/>
    <w:link w:val="1087"/>
    <w:uiPriority w:val="0"/>
    <w:qFormat/>
    <w:pPr>
      <w:ind w:left="720" w:firstLine="480"/>
      <w:jc w:val="left"/>
      <w:spacing w:before="120" w:line="22" w:lineRule="atLeast"/>
    </w:pPr>
    <w:rPr>
      <w:rFonts w:ascii="宋体"/>
      <w:sz w:val="24"/>
      <w:szCs w:val="20"/>
    </w:rPr>
  </w:style>
  <w:style w:type="character" w:styleId="1087" w:customStyle="1">
    <w:name w:val="正文文本缩进 3 Char"/>
    <w:basedOn w:val="1042"/>
    <w:link w:val="1086"/>
    <w:uiPriority w:val="0"/>
    <w:qFormat/>
    <w:rPr>
      <w:rFonts w:ascii="宋体"/>
      <w:sz w:val="24"/>
    </w:rPr>
  </w:style>
  <w:style w:type="paragraph" w:styleId="1088" w:customStyle="1">
    <w:name w:val="目录 21"/>
    <w:basedOn w:val="844"/>
    <w:next w:val="844"/>
    <w:uiPriority w:val="39"/>
    <w:qFormat/>
    <w:pPr>
      <w:ind w:left="420"/>
      <w:spacing w:line="312" w:lineRule="auto"/>
      <w:tabs>
        <w:tab w:val="right" w:pos="8937" w:leader="dot"/>
      </w:tabs>
    </w:pPr>
  </w:style>
  <w:style w:type="paragraph" w:styleId="1089" w:customStyle="1">
    <w:name w:val="目录 91"/>
    <w:basedOn w:val="844"/>
    <w:next w:val="844"/>
    <w:uiPriority w:val="0"/>
    <w:qFormat/>
    <w:pPr>
      <w:ind w:left="3360"/>
    </w:pPr>
  </w:style>
  <w:style w:type="paragraph" w:styleId="1090" w:customStyle="1">
    <w:name w:val="HTML 预设格式1"/>
    <w:basedOn w:val="844"/>
    <w:link w:val="109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91" w:customStyle="1">
    <w:name w:val="HTML 预设格式 Char"/>
    <w:basedOn w:val="1042"/>
    <w:link w:val="1090"/>
    <w:uiPriority w:val="0"/>
    <w:qFormat/>
    <w:rPr>
      <w:rFonts w:ascii="宋体" w:hAnsi="宋体" w:cs="宋体"/>
      <w:sz w:val="24"/>
      <w:szCs w:val="24"/>
    </w:rPr>
  </w:style>
  <w:style w:type="paragraph" w:styleId="1092" w:customStyle="1">
    <w:name w:val="普通(网站)1"/>
    <w:basedOn w:val="844"/>
    <w:uiPriority w:val="99"/>
    <w:unhideWhenUsed/>
    <w:qFormat/>
    <w:pPr>
      <w:jc w:val="left"/>
      <w:spacing w:before="100" w:beforeAutospacing="1" w:after="100" w:afterAutospacing="1"/>
      <w:widowControl/>
    </w:pPr>
    <w:rPr>
      <w:rFonts w:ascii="宋体" w:hAnsi="宋体" w:cs="宋体"/>
      <w:sz w:val="24"/>
    </w:rPr>
  </w:style>
  <w:style w:type="paragraph" w:styleId="1093" w:customStyle="1">
    <w:name w:val="索引 11"/>
    <w:basedOn w:val="844"/>
    <w:next w:val="844"/>
    <w:uiPriority w:val="0"/>
    <w:qFormat/>
    <w:rPr>
      <w:szCs w:val="20"/>
    </w:rPr>
  </w:style>
  <w:style w:type="paragraph" w:styleId="1094" w:customStyle="1">
    <w:name w:val="标题1"/>
    <w:basedOn w:val="844"/>
    <w:link w:val="1095"/>
    <w:uiPriority w:val="0"/>
    <w:qFormat/>
    <w:pPr>
      <w:jc w:val="center"/>
      <w:outlineLvl w:val="0"/>
    </w:pPr>
    <w:rPr>
      <w:b/>
      <w:sz w:val="32"/>
      <w:szCs w:val="20"/>
    </w:rPr>
  </w:style>
  <w:style w:type="character" w:styleId="1095" w:customStyle="1">
    <w:name w:val="标题 Char1"/>
    <w:link w:val="1094"/>
    <w:uiPriority w:val="0"/>
    <w:qFormat/>
    <w:rPr>
      <w:b/>
      <w:sz w:val="32"/>
    </w:rPr>
  </w:style>
  <w:style w:type="paragraph" w:styleId="1096" w:customStyle="1">
    <w:name w:val="批注主题1"/>
    <w:basedOn w:val="1058"/>
    <w:next w:val="1058"/>
    <w:link w:val="1097"/>
    <w:uiPriority w:val="0"/>
    <w:qFormat/>
    <w:rPr>
      <w:b/>
      <w:bCs/>
    </w:rPr>
  </w:style>
  <w:style w:type="character" w:styleId="1097" w:customStyle="1">
    <w:name w:val="批注主题 Char"/>
    <w:basedOn w:val="1098"/>
    <w:link w:val="1096"/>
    <w:uiPriority w:val="0"/>
    <w:qFormat/>
    <w:rPr>
      <w:rFonts w:ascii="Times New Roman" w:hAnsi="Times New Roman" w:eastAsia="宋体" w:cs="Times New Roman"/>
      <w:b/>
      <w:bCs/>
      <w:sz w:val="21"/>
      <w:szCs w:val="24"/>
      <w:lang w:val="en-US" w:eastAsia="zh-CN" w:bidi="ar-SA"/>
    </w:rPr>
  </w:style>
  <w:style w:type="character" w:styleId="1098" w:customStyle="1">
    <w:name w:val="批注文字 字符"/>
    <w:link w:val="844"/>
    <w:uiPriority w:val="99"/>
    <w:qFormat/>
    <w:rPr>
      <w:rFonts w:ascii="Times New Roman" w:hAnsi="Times New Roman" w:eastAsia="宋体" w:cs="Times New Roman"/>
      <w:sz w:val="24"/>
      <w:lang w:val="en-US" w:eastAsia="zh-CN" w:bidi="ar-SA"/>
    </w:rPr>
  </w:style>
  <w:style w:type="paragraph" w:styleId="1099" w:customStyle="1">
    <w:name w:val="正文首行缩进 21"/>
    <w:basedOn w:val="1064"/>
    <w:link w:val="1100"/>
    <w:uiPriority w:val="0"/>
    <w:qFormat/>
    <w:pPr>
      <w:ind w:left="420" w:firstLine="420"/>
      <w:spacing w:after="120" w:line="480" w:lineRule="exact"/>
    </w:pPr>
    <w:rPr>
      <w:szCs w:val="20"/>
    </w:rPr>
  </w:style>
  <w:style w:type="character" w:styleId="1100" w:customStyle="1">
    <w:name w:val="正文首行缩进 2 Char"/>
    <w:basedOn w:val="1065"/>
    <w:link w:val="1099"/>
    <w:uiPriority w:val="0"/>
    <w:qFormat/>
    <w:rPr>
      <w:rFonts w:eastAsia="宋体"/>
      <w:sz w:val="24"/>
      <w:szCs w:val="24"/>
      <w:lang w:val="en-US" w:eastAsia="zh-CN" w:bidi="ar-SA"/>
    </w:rPr>
  </w:style>
  <w:style w:type="table" w:styleId="1101" w:customStyle="1">
    <w:name w:val="网格型1"/>
    <w:basedOn w:val="1043"/>
    <w:uiPriority w:val="39"/>
    <w:qFormat/>
    <w:tblPr/>
  </w:style>
  <w:style w:type="table" w:styleId="1102" w:customStyle="1">
    <w:name w:val="中等深浅网格 1 - 强调文字颜色 21"/>
    <w:basedOn w:val="1043"/>
    <w:uiPriority w:val="0"/>
    <w:qFormat/>
    <w:rPr>
      <w:sz w:val="21"/>
      <w:szCs w:val="24"/>
    </w:rPr>
    <w:tblPr/>
  </w:style>
  <w:style w:type="character" w:styleId="1103" w:customStyle="1">
    <w:name w:val="要点1"/>
    <w:link w:val="844"/>
    <w:uiPriority w:val="0"/>
    <w:qFormat/>
    <w:rPr>
      <w:b/>
      <w:bCs/>
    </w:rPr>
  </w:style>
  <w:style w:type="character" w:styleId="1104" w:customStyle="1">
    <w:name w:val="页码1"/>
    <w:basedOn w:val="1042"/>
    <w:link w:val="844"/>
    <w:uiPriority w:val="0"/>
    <w:qFormat/>
  </w:style>
  <w:style w:type="character" w:styleId="1105" w:customStyle="1">
    <w:name w:val="已访问的超链接1"/>
    <w:link w:val="844"/>
    <w:uiPriority w:val="0"/>
    <w:qFormat/>
    <w:rPr>
      <w:color w:val="800080"/>
      <w:u w:val="single"/>
    </w:rPr>
  </w:style>
  <w:style w:type="character" w:styleId="1106" w:customStyle="1">
    <w:name w:val="强调1"/>
    <w:link w:val="844"/>
    <w:uiPriority w:val="0"/>
    <w:qFormat/>
    <w:rPr>
      <w:color w:val="cc0033"/>
    </w:rPr>
  </w:style>
  <w:style w:type="character" w:styleId="1107" w:customStyle="1">
    <w:name w:val="超链接1"/>
    <w:link w:val="844"/>
    <w:uiPriority w:val="99"/>
    <w:qFormat/>
    <w:rPr>
      <w:color w:val="0000ff"/>
      <w:u w:val="single"/>
    </w:rPr>
  </w:style>
  <w:style w:type="character" w:styleId="1108" w:customStyle="1">
    <w:name w:val="批注引用1"/>
    <w:link w:val="844"/>
    <w:uiPriority w:val="99"/>
    <w:qFormat/>
    <w:rPr>
      <w:sz w:val="21"/>
      <w:szCs w:val="21"/>
    </w:rPr>
  </w:style>
  <w:style w:type="character" w:styleId="1109" w:customStyle="1">
    <w:name w:val="HTML 引文1"/>
    <w:link w:val="844"/>
    <w:uiPriority w:val="0"/>
    <w:qFormat/>
    <w:rPr>
      <w:i/>
      <w:iCs/>
    </w:rPr>
  </w:style>
  <w:style w:type="character" w:styleId="1110" w:customStyle="1">
    <w:name w:val="c21"/>
    <w:link w:val="844"/>
    <w:uiPriority w:val="0"/>
    <w:qFormat/>
    <w:rPr>
      <w:rFonts w:ascii="ˎ̥" w:hAnsi="ˎ̥"/>
      <w:color w:val="000000"/>
      <w:sz w:val="20"/>
      <w:szCs w:val="20"/>
      <w:u w:val="none"/>
    </w:rPr>
  </w:style>
  <w:style w:type="character" w:styleId="1111" w:customStyle="1">
    <w:name w:val="title4"/>
    <w:link w:val="844"/>
    <w:uiPriority w:val="0"/>
    <w:qFormat/>
    <w:rPr>
      <w:b/>
      <w:bCs/>
      <w:color w:val="1d87b3"/>
      <w:sz w:val="15"/>
      <w:szCs w:val="15"/>
    </w:rPr>
  </w:style>
  <w:style w:type="character" w:styleId="1112" w:customStyle="1">
    <w:name w:val="标题 2 Char Char"/>
    <w:link w:val="844"/>
    <w:uiPriority w:val="0"/>
    <w:qFormat/>
    <w:rPr>
      <w:rFonts w:ascii="Arial" w:hAnsi="Arial" w:eastAsia="黑体"/>
      <w:b/>
      <w:bCs/>
      <w:sz w:val="32"/>
      <w:szCs w:val="32"/>
      <w:lang w:val="en-US" w:eastAsia="zh-CN" w:bidi="ar-SA"/>
    </w:rPr>
  </w:style>
  <w:style w:type="character" w:styleId="1113" w:customStyle="1">
    <w:name w:val="black1"/>
    <w:link w:val="844"/>
    <w:uiPriority w:val="0"/>
    <w:qFormat/>
    <w:rPr>
      <w:color w:val="000000"/>
    </w:rPr>
  </w:style>
  <w:style w:type="character" w:styleId="1114" w:customStyle="1">
    <w:name w:val="street-address"/>
    <w:basedOn w:val="1042"/>
    <w:link w:val="844"/>
    <w:uiPriority w:val="0"/>
    <w:qFormat/>
  </w:style>
  <w:style w:type="character" w:styleId="1115" w:customStyle="1">
    <w:name w:val="locality"/>
    <w:basedOn w:val="1042"/>
    <w:link w:val="844"/>
    <w:uiPriority w:val="0"/>
    <w:qFormat/>
  </w:style>
  <w:style w:type="character" w:styleId="1116" w:customStyle="1">
    <w:name w:val="正文文本缩进 Char1"/>
    <w:link w:val="1117"/>
    <w:uiPriority w:val="0"/>
    <w:qFormat/>
    <w:rPr>
      <w:rFonts w:ascii="宋体" w:hAnsi="宋体" w:eastAsia="宋体"/>
      <w:sz w:val="24"/>
      <w:szCs w:val="24"/>
      <w:lang w:bidi="ar-SA"/>
    </w:rPr>
  </w:style>
  <w:style w:type="paragraph" w:styleId="1117" w:customStyle="1">
    <w:name w:val="正文文本缩进1"/>
    <w:basedOn w:val="844"/>
    <w:link w:val="1116"/>
    <w:uiPriority w:val="0"/>
    <w:qFormat/>
    <w:pPr>
      <w:ind w:firstLine="480"/>
      <w:spacing w:line="480" w:lineRule="exact"/>
    </w:pPr>
    <w:rPr>
      <w:rFonts w:ascii="宋体" w:hAnsi="宋体"/>
      <w:sz w:val="24"/>
    </w:rPr>
  </w:style>
  <w:style w:type="character" w:styleId="1118" w:customStyle="1">
    <w:name w:val="Char Char11"/>
    <w:link w:val="844"/>
    <w:uiPriority w:val="0"/>
    <w:qFormat/>
    <w:rPr>
      <w:rFonts w:ascii="宋体" w:eastAsia="宋体"/>
      <w:b/>
      <w:sz w:val="24"/>
      <w:u w:val="single"/>
      <w:lang w:val="en-US" w:eastAsia="zh-CN" w:bidi="ar-SA"/>
    </w:rPr>
  </w:style>
  <w:style w:type="character" w:styleId="1119" w:customStyle="1">
    <w:name w:val="txt"/>
    <w:basedOn w:val="1042"/>
    <w:link w:val="844"/>
    <w:uiPriority w:val="0"/>
    <w:qFormat/>
  </w:style>
  <w:style w:type="character" w:styleId="1120" w:customStyle="1">
    <w:name w:val="正文缩进 Char Char"/>
    <w:link w:val="1121"/>
    <w:uiPriority w:val="0"/>
    <w:qFormat/>
    <w:rPr>
      <w:rFonts w:ascii="宋体" w:eastAsia="宋体"/>
      <w:color w:val="000000"/>
      <w:sz w:val="28"/>
      <w:lang w:bidi="ar-SA"/>
    </w:rPr>
  </w:style>
  <w:style w:type="paragraph" w:styleId="1121" w:customStyle="1">
    <w:name w:val="正文缩进1"/>
    <w:basedOn w:val="844"/>
    <w:link w:val="1120"/>
    <w:uiPriority w:val="0"/>
    <w:qFormat/>
    <w:pPr>
      <w:ind w:firstLine="567"/>
      <w:spacing w:line="480" w:lineRule="exact"/>
      <w:widowControl/>
    </w:pPr>
    <w:rPr>
      <w:rFonts w:ascii="宋体"/>
      <w:color w:val="000000"/>
      <w:sz w:val="28"/>
      <w:szCs w:val="20"/>
    </w:rPr>
  </w:style>
  <w:style w:type="character" w:styleId="1122" w:customStyle="1">
    <w:name w:val="普通文字1 Char1"/>
    <w:link w:val="844"/>
    <w:uiPriority w:val="0"/>
    <w:qFormat/>
    <w:rPr>
      <w:rFonts w:ascii="宋体" w:hAnsi="Courier New" w:eastAsia="宋体"/>
      <w:sz w:val="21"/>
      <w:lang w:val="en-US" w:eastAsia="zh-CN" w:bidi="ar-SA"/>
    </w:rPr>
  </w:style>
  <w:style w:type="character" w:styleId="1123" w:customStyle="1">
    <w:name w:val="chanpin1"/>
    <w:link w:val="844"/>
    <w:uiPriority w:val="0"/>
    <w:qFormat/>
    <w:rPr>
      <w:rFonts w:ascii="ˎ̥" w:hAnsi="ˎ̥"/>
      <w:color w:val="000000"/>
      <w:sz w:val="20"/>
      <w:szCs w:val="20"/>
      <w:u w:val="none"/>
    </w:rPr>
  </w:style>
  <w:style w:type="character" w:styleId="1124" w:customStyle="1">
    <w:name w:val="列出段落 Char1"/>
    <w:link w:val="1125"/>
    <w:uiPriority w:val="34"/>
    <w:qFormat/>
    <w:rPr>
      <w:rFonts w:ascii="Calibri" w:hAnsi="Calibri" w:eastAsia="宋体"/>
      <w:sz w:val="21"/>
      <w:szCs w:val="22"/>
      <w:lang w:val="en-US" w:eastAsia="zh-CN" w:bidi="ar-SA"/>
    </w:rPr>
  </w:style>
  <w:style w:type="paragraph" w:styleId="1125" w:customStyle="1">
    <w:name w:val="列出段落"/>
    <w:basedOn w:val="844"/>
    <w:link w:val="1124"/>
    <w:uiPriority w:val="34"/>
    <w:qFormat/>
    <w:pPr>
      <w:ind w:firstLine="420"/>
    </w:pPr>
    <w:rPr>
      <w:rFonts w:ascii="Calibri" w:hAnsi="Calibri"/>
      <w:szCs w:val="22"/>
    </w:rPr>
  </w:style>
  <w:style w:type="character" w:styleId="1126" w:customStyle="1">
    <w:name w:val="标题 3 Char Char"/>
    <w:link w:val="844"/>
    <w:uiPriority w:val="0"/>
    <w:qFormat/>
    <w:rPr>
      <w:rFonts w:eastAsia="宋体"/>
      <w:b/>
      <w:bCs/>
      <w:sz w:val="32"/>
      <w:szCs w:val="32"/>
      <w:lang w:val="en-US" w:eastAsia="zh-CN" w:bidi="ar-SA"/>
    </w:rPr>
  </w:style>
  <w:style w:type="character" w:styleId="1127" w:customStyle="1">
    <w:name w:val="段1 Char"/>
    <w:link w:val="844"/>
    <w:uiPriority w:val="0"/>
    <w:qFormat/>
    <w:rPr>
      <w:rFonts w:ascii="宋体" w:eastAsia="宋体"/>
      <w:sz w:val="24"/>
      <w:lang w:val="en-US" w:eastAsia="zh-CN" w:bidi="ar-SA"/>
    </w:rPr>
  </w:style>
  <w:style w:type="character" w:styleId="1128" w:customStyle="1">
    <w:name w:val="chanpin拷贝"/>
    <w:basedOn w:val="1042"/>
    <w:link w:val="844"/>
    <w:uiPriority w:val="0"/>
    <w:qFormat/>
  </w:style>
  <w:style w:type="character" w:styleId="1129" w:customStyle="1">
    <w:name w:val="纯文本 Char1"/>
    <w:link w:val="844"/>
    <w:uiPriority w:val="0"/>
    <w:qFormat/>
    <w:rPr>
      <w:rFonts w:ascii="宋体" w:hAnsi="Courier New" w:eastAsia="宋体"/>
      <w:sz w:val="21"/>
      <w:lang w:val="en-US" w:eastAsia="zh-CN" w:bidi="ar-SA"/>
    </w:rPr>
  </w:style>
  <w:style w:type="character" w:styleId="1130" w:customStyle="1">
    <w:name w:val="apple-style-span"/>
    <w:link w:val="844"/>
    <w:uiPriority w:val="0"/>
    <w:qFormat/>
    <w:rPr>
      <w:rFonts w:cs="Times New Roman"/>
    </w:rPr>
  </w:style>
  <w:style w:type="paragraph" w:styleId="1131" w:customStyle="1">
    <w:name w:val="二级条标题"/>
    <w:basedOn w:val="1132"/>
    <w:next w:val="844"/>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32" w:customStyle="1">
    <w:name w:val="一级条标题"/>
    <w:basedOn w:val="1133"/>
    <w:next w:val="844"/>
    <w:uiPriority w:val="0"/>
    <w:qFormat/>
    <w:pPr>
      <w:numPr>
        <w:ilvl w:val="1"/>
      </w:numPr>
      <w:ind w:left="0" w:hanging="840"/>
      <w:tabs>
        <w:tab w:val="left" w:pos="360" w:leader="none"/>
        <w:tab w:val="left" w:pos="840" w:leader="none"/>
      </w:tabs>
      <w:outlineLvl w:val="1"/>
    </w:pPr>
  </w:style>
  <w:style w:type="paragraph" w:styleId="1133" w:customStyle="1">
    <w:name w:val="章标题"/>
    <w:next w:val="844"/>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134" w:customStyle="1">
    <w:name w:val="font7"/>
    <w:basedOn w:val="844"/>
    <w:uiPriority w:val="0"/>
    <w:qFormat/>
    <w:pPr>
      <w:jc w:val="left"/>
      <w:spacing w:before="100" w:beforeAutospacing="1" w:after="100" w:afterAutospacing="1"/>
      <w:widowControl/>
    </w:pPr>
    <w:rPr>
      <w:rFonts w:eastAsia="Arial Unicode MS"/>
      <w:b/>
      <w:bCs/>
      <w:color w:val="000000"/>
      <w:sz w:val="20"/>
      <w:szCs w:val="20"/>
    </w:rPr>
  </w:style>
  <w:style w:type="paragraph" w:styleId="1135" w:customStyle="1">
    <w:name w:val="字元 字元"/>
    <w:basedOn w:val="844"/>
    <w:uiPriority w:val="0"/>
    <w:qFormat/>
    <w:rPr>
      <w:rFonts w:ascii="Tahoma" w:hAnsi="Tahoma"/>
      <w:sz w:val="24"/>
      <w:szCs w:val="20"/>
    </w:rPr>
  </w:style>
  <w:style w:type="paragraph" w:styleId="1136" w:customStyle="1">
    <w:name w:val="Char3 Char Char Char"/>
    <w:basedOn w:val="844"/>
    <w:uiPriority w:val="0"/>
    <w:qFormat/>
    <w:rPr>
      <w:rFonts w:ascii="Tahoma" w:hAnsi="Tahoma"/>
      <w:sz w:val="24"/>
      <w:szCs w:val="20"/>
    </w:rPr>
  </w:style>
  <w:style w:type="paragraph" w:styleId="1137" w:customStyle="1">
    <w:name w:val="font6"/>
    <w:basedOn w:val="844"/>
    <w:uiPriority w:val="0"/>
    <w:qFormat/>
    <w:pPr>
      <w:jc w:val="left"/>
      <w:spacing w:before="100" w:beforeAutospacing="1" w:after="100" w:afterAutospacing="1"/>
      <w:widowControl/>
    </w:pPr>
    <w:rPr>
      <w:rFonts w:ascii="宋体" w:hAnsi="宋体" w:cs="宋体"/>
      <w:sz w:val="20"/>
      <w:szCs w:val="20"/>
    </w:rPr>
  </w:style>
  <w:style w:type="paragraph" w:styleId="1138" w:customStyle="1">
    <w:name w:val="项目编号2"/>
    <w:basedOn w:val="1139"/>
    <w:uiPriority w:val="0"/>
    <w:qFormat/>
    <w:pPr>
      <w:numPr>
        <w:numId w:val="2"/>
      </w:numPr>
    </w:pPr>
  </w:style>
  <w:style w:type="paragraph" w:styleId="1139" w:customStyle="1">
    <w:name w:val="项目编号1"/>
    <w:basedOn w:val="844"/>
    <w:uiPriority w:val="0"/>
    <w:qFormat/>
    <w:pPr>
      <w:numPr>
        <w:ilvl w:val="0"/>
        <w:numId w:val="3"/>
      </w:numPr>
      <w:spacing w:before="100" w:beforeAutospacing="1" w:after="100" w:afterAutospacing="1" w:line="360" w:lineRule="auto"/>
    </w:pPr>
    <w:rPr>
      <w:sz w:val="24"/>
    </w:rPr>
  </w:style>
  <w:style w:type="paragraph" w:styleId="1140" w:customStyle="1">
    <w:name w:val="图中文字"/>
    <w:basedOn w:val="844"/>
    <w:uiPriority w:val="0"/>
    <w:qFormat/>
    <w:pPr>
      <w:jc w:val="center"/>
      <w:spacing w:line="0" w:lineRule="atLeast"/>
    </w:pPr>
    <w:rPr>
      <w:sz w:val="24"/>
      <w:szCs w:val="20"/>
    </w:rPr>
  </w:style>
  <w:style w:type="paragraph" w:styleId="1141" w:customStyle="1">
    <w:name w:val="xl46"/>
    <w:basedOn w:val="844"/>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42" w:customStyle="1">
    <w:name w:val="xl25"/>
    <w:basedOn w:val="8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3" w:customStyle="1">
    <w:name w:val="Char2"/>
    <w:basedOn w:val="844"/>
    <w:uiPriority w:val="0"/>
    <w:qFormat/>
    <w:rPr>
      <w:rFonts w:ascii="Tahoma" w:hAnsi="Tahoma"/>
      <w:sz w:val="24"/>
      <w:szCs w:val="20"/>
    </w:rPr>
  </w:style>
  <w:style w:type="paragraph" w:styleId="1144" w:customStyle="1">
    <w:name w:val="xl35"/>
    <w:basedOn w:val="844"/>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5" w:customStyle="1">
    <w:name w:val="xl40"/>
    <w:basedOn w:val="8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6" w:customStyle="1">
    <w:name w:val="xl52"/>
    <w:basedOn w:val="84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47" w:customStyle="1">
    <w:name w:val="xl43"/>
    <w:basedOn w:val="84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48" w:customStyle="1">
    <w:name w:val="background1"/>
    <w:basedOn w:val="844"/>
    <w:uiPriority w:val="0"/>
    <w:qFormat/>
    <w:pPr>
      <w:jc w:val="left"/>
      <w:spacing w:before="100" w:beforeAutospacing="1" w:after="100" w:afterAutospacing="1"/>
      <w:widowControl/>
    </w:pPr>
    <w:rPr>
      <w:rFonts w:ascii="宋体" w:hAnsi="宋体" w:cs="宋体"/>
      <w:sz w:val="24"/>
    </w:rPr>
  </w:style>
  <w:style w:type="paragraph" w:styleId="1149" w:customStyle="1">
    <w:name w:val="Char Char Char Char Char Char Char"/>
    <w:basedOn w:val="844"/>
    <w:uiPriority w:val="0"/>
    <w:qFormat/>
    <w:pPr>
      <w:ind w:firstLine="200"/>
      <w:spacing w:line="360" w:lineRule="auto"/>
    </w:pPr>
    <w:rPr>
      <w:rFonts w:eastAsia="仿宋_GB2312"/>
      <w:sz w:val="24"/>
    </w:rPr>
  </w:style>
  <w:style w:type="paragraph" w:styleId="1150" w:customStyle="1">
    <w:name w:val="xl38"/>
    <w:basedOn w:val="8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51" w:customStyle="1">
    <w:name w:val="xl36"/>
    <w:basedOn w:val="844"/>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2" w:customStyle="1">
    <w:name w:val="正文 + 宋体"/>
    <w:basedOn w:val="844"/>
    <w:uiPriority w:val="0"/>
    <w:qFormat/>
    <w:pPr>
      <w:ind w:left="360" w:hanging="360"/>
      <w:jc w:val="left"/>
      <w:widowControl/>
    </w:pPr>
    <w:rPr>
      <w:rFonts w:ascii="宋体" w:hAnsi="宋体" w:cs="宋体"/>
      <w:b/>
      <w:bCs/>
      <w:color w:val="000000"/>
      <w:sz w:val="18"/>
      <w:szCs w:val="18"/>
    </w:rPr>
  </w:style>
  <w:style w:type="paragraph" w:styleId="1153" w:customStyle="1">
    <w:name w:val="正文列项_数字"/>
    <w:basedOn w:val="844"/>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154" w:customStyle="1">
    <w:name w:val="xl39"/>
    <w:basedOn w:val="8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5" w:customStyle="1">
    <w:name w:val="xl37"/>
    <w:basedOn w:val="844"/>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6" w:customStyle="1">
    <w:name w:val="xl32"/>
    <w:basedOn w:val="84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7" w:customStyle="1">
    <w:name w:val="font8"/>
    <w:basedOn w:val="844"/>
    <w:uiPriority w:val="0"/>
    <w:qFormat/>
    <w:pPr>
      <w:jc w:val="left"/>
      <w:spacing w:before="100" w:beforeAutospacing="1" w:after="100" w:afterAutospacing="1"/>
      <w:widowControl/>
    </w:pPr>
    <w:rPr>
      <w:sz w:val="36"/>
      <w:szCs w:val="36"/>
    </w:rPr>
  </w:style>
  <w:style w:type="paragraph" w:styleId="1158" w:customStyle="1">
    <w:name w:val="Char"/>
    <w:basedOn w:val="844"/>
    <w:uiPriority w:val="0"/>
    <w:qFormat/>
    <w:pPr>
      <w:tabs>
        <w:tab w:val="left" w:pos="360" w:leader="none"/>
      </w:tabs>
    </w:pPr>
    <w:rPr>
      <w:sz w:val="24"/>
    </w:rPr>
  </w:style>
  <w:style w:type="paragraph" w:styleId="1159" w:customStyle="1">
    <w:name w:val="Char Char Char Char Char Char Char Char Char Char Char Char Char Char Char Char"/>
    <w:basedOn w:val="844"/>
    <w:uiPriority w:val="0"/>
    <w:qFormat/>
    <w:pPr>
      <w:jc w:val="center"/>
      <w:spacing w:after="160" w:line="240" w:lineRule="exact"/>
      <w:widowControl/>
    </w:pPr>
    <w:rPr>
      <w:rFonts w:ascii="宋体" w:hAnsi="宋体"/>
      <w:b/>
      <w:sz w:val="30"/>
      <w:szCs w:val="30"/>
      <w:lang w:eastAsia="en-US"/>
    </w:rPr>
  </w:style>
  <w:style w:type="paragraph" w:styleId="1160" w:customStyle="1">
    <w:name w:val="xl45"/>
    <w:basedOn w:val="84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61" w:customStyle="1">
    <w:name w:val="Char Char1 Char Char Char Char Char Char"/>
    <w:basedOn w:val="844"/>
    <w:uiPriority w:val="0"/>
    <w:qFormat/>
    <w:pPr>
      <w:jc w:val="left"/>
      <w:spacing w:after="160" w:line="240" w:lineRule="exact"/>
      <w:widowControl/>
    </w:pPr>
    <w:rPr>
      <w:rFonts w:ascii="Verdana" w:hAnsi="Verdana" w:eastAsia="仿宋_GB2312"/>
      <w:sz w:val="24"/>
      <w:szCs w:val="20"/>
      <w:lang w:eastAsia="en-US"/>
    </w:rPr>
  </w:style>
  <w:style w:type="paragraph" w:styleId="1162" w:customStyle="1">
    <w:name w:val="Char Char1"/>
    <w:basedOn w:val="1056"/>
    <w:uiPriority w:val="0"/>
    <w:qFormat/>
    <w:rPr>
      <w:rFonts w:ascii="Tahoma" w:hAnsi="Tahoma"/>
      <w:sz w:val="24"/>
    </w:rPr>
  </w:style>
  <w:style w:type="paragraph" w:styleId="1163" w:customStyle="1">
    <w:name w:val="xl26"/>
    <w:basedOn w:val="8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64" w:customStyle="1">
    <w:name w:val="xl30"/>
    <w:basedOn w:val="8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5" w:customStyle="1">
    <w:name w:val="xl41"/>
    <w:basedOn w:val="84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66" w:customStyle="1">
    <w:name w:val="样式 宋体 五号 行距: 单倍行距"/>
    <w:basedOn w:val="844"/>
    <w:uiPriority w:val="0"/>
    <w:qFormat/>
    <w:pPr>
      <w:jc w:val="left"/>
    </w:pPr>
    <w:rPr>
      <w:rFonts w:ascii="宋体" w:hAnsi="宋体"/>
      <w:szCs w:val="20"/>
    </w:rPr>
  </w:style>
  <w:style w:type="paragraph" w:styleId="1167" w:customStyle="1">
    <w:name w:val="Char1 Char Char Char1"/>
    <w:basedOn w:val="844"/>
    <w:uiPriority w:val="0"/>
    <w:qFormat/>
    <w:rPr>
      <w:rFonts w:ascii="Tahoma" w:hAnsi="Tahoma" w:cs="仿宋_GB2312"/>
      <w:sz w:val="24"/>
      <w:szCs w:val="28"/>
    </w:rPr>
  </w:style>
  <w:style w:type="paragraph" w:styleId="1168" w:customStyle="1">
    <w:name w:val="四级条标题"/>
    <w:basedOn w:val="1169"/>
    <w:next w:val="844"/>
    <w:uiPriority w:val="0"/>
    <w:qFormat/>
    <w:pPr>
      <w:numPr>
        <w:ilvl w:val="4"/>
      </w:numPr>
      <w:ind w:left="0" w:hanging="840"/>
      <w:tabs>
        <w:tab w:val="left" w:pos="360" w:leader="none"/>
        <w:tab w:val="left" w:pos="840" w:leader="none"/>
      </w:tabs>
      <w:outlineLvl w:val="4"/>
    </w:pPr>
  </w:style>
  <w:style w:type="paragraph" w:styleId="1169" w:customStyle="1">
    <w:name w:val="三级条标题"/>
    <w:basedOn w:val="1131"/>
    <w:next w:val="844"/>
    <w:uiPriority w:val="0"/>
    <w:qFormat/>
    <w:pPr>
      <w:numPr>
        <w:ilvl w:val="3"/>
        <w:numId w:val="1"/>
      </w:numPr>
      <w:ind w:left="0" w:hanging="840"/>
      <w:outlineLvl w:val="3"/>
    </w:pPr>
  </w:style>
  <w:style w:type="paragraph" w:styleId="1170"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171" w:customStyle="1">
    <w:name w:val="样式 标题 2 + 宋体 五号 行距: 单倍行距"/>
    <w:basedOn w:val="1033"/>
    <w:uiPriority w:val="0"/>
    <w:qFormat/>
    <w:pPr>
      <w:numPr>
        <w:ilvl w:val="1"/>
        <w:numId w:val="4"/>
      </w:numPr>
      <w:jc w:val="left"/>
      <w:spacing w:before="260" w:after="260" w:line="240" w:lineRule="auto"/>
    </w:pPr>
    <w:rPr>
      <w:rFonts w:ascii="宋体" w:hAnsi="宋体" w:eastAsia="宋体"/>
      <w:bCs/>
      <w:sz w:val="21"/>
    </w:rPr>
  </w:style>
  <w:style w:type="paragraph" w:styleId="1172" w:customStyle="1">
    <w:name w:val="List Paragraph1"/>
    <w:basedOn w:val="844"/>
    <w:uiPriority w:val="0"/>
    <w:qFormat/>
    <w:pPr>
      <w:ind w:firstLine="420"/>
    </w:pPr>
    <w:rPr>
      <w:rFonts w:ascii="Calibri" w:hAnsi="Calibri"/>
      <w:szCs w:val="22"/>
    </w:rPr>
  </w:style>
  <w:style w:type="paragraph" w:styleId="1173" w:customStyle="1">
    <w:name w:val="项目符号1"/>
    <w:basedOn w:val="1174"/>
    <w:uiPriority w:val="0"/>
    <w:qFormat/>
    <w:pPr>
      <w:ind w:left="-25" w:firstLine="0"/>
    </w:pPr>
  </w:style>
  <w:style w:type="paragraph" w:styleId="1174" w:customStyle="1">
    <w:name w:val="正文文本样式"/>
    <w:basedOn w:val="844"/>
    <w:uiPriority w:val="0"/>
    <w:qFormat/>
    <w:pPr>
      <w:ind w:firstLine="482"/>
      <w:spacing w:line="360" w:lineRule="auto"/>
    </w:pPr>
    <w:rPr>
      <w:rFonts w:cs="宋体"/>
      <w:sz w:val="24"/>
      <w:szCs w:val="20"/>
    </w:rPr>
  </w:style>
  <w:style w:type="paragraph" w:styleId="1175" w:customStyle="1">
    <w:name w:val="xl27"/>
    <w:basedOn w:val="8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76" w:customStyle="1">
    <w:name w:val="font5"/>
    <w:basedOn w:val="844"/>
    <w:uiPriority w:val="0"/>
    <w:qFormat/>
    <w:pPr>
      <w:jc w:val="left"/>
      <w:spacing w:before="100" w:beforeAutospacing="1" w:after="100" w:afterAutospacing="1"/>
      <w:widowControl/>
    </w:pPr>
    <w:rPr>
      <w:rFonts w:ascii="宋体" w:hAnsi="宋体" w:cs="宋体"/>
      <w:sz w:val="18"/>
      <w:szCs w:val="18"/>
    </w:rPr>
  </w:style>
  <w:style w:type="paragraph" w:styleId="1177" w:customStyle="1">
    <w:name w:val="五级条标题"/>
    <w:basedOn w:val="1168"/>
    <w:next w:val="844"/>
    <w:uiPriority w:val="0"/>
    <w:qFormat/>
    <w:pPr>
      <w:numPr>
        <w:ilvl w:val="5"/>
      </w:numPr>
      <w:ind w:left="0" w:hanging="840"/>
      <w:outlineLvl w:val="5"/>
    </w:pPr>
  </w:style>
  <w:style w:type="paragraph" w:styleId="1178" w:customStyle="1">
    <w:name w:val="xl49"/>
    <w:basedOn w:val="8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79" w:customStyle="1">
    <w:name w:val="文档正文"/>
    <w:basedOn w:val="844"/>
    <w:uiPriority w:val="0"/>
    <w:qFormat/>
    <w:pPr>
      <w:spacing w:before="120" w:after="120" w:line="180" w:lineRule="auto"/>
    </w:pPr>
    <w:rPr>
      <w:rFonts w:ascii="Arial" w:hAnsi="Arial"/>
      <w:szCs w:val="20"/>
    </w:rPr>
  </w:style>
  <w:style w:type="paragraph" w:styleId="1180" w:customStyle="1">
    <w:name w:val="xl33"/>
    <w:basedOn w:val="8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81" w:customStyle="1">
    <w:name w:val="xl42"/>
    <w:basedOn w:val="8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82" w:customStyle="1">
    <w:name w:val="Char Char Char1 Char"/>
    <w:basedOn w:val="844"/>
    <w:uiPriority w:val="0"/>
    <w:qFormat/>
    <w:rPr>
      <w:rFonts w:ascii="Tahoma" w:hAnsi="Tahoma"/>
      <w:sz w:val="24"/>
      <w:szCs w:val="20"/>
    </w:rPr>
  </w:style>
  <w:style w:type="paragraph" w:styleId="1183" w:customStyle="1">
    <w:name w:val="xl44"/>
    <w:basedOn w:val="84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84" w:customStyle="1">
    <w:name w:val="1名"/>
    <w:basedOn w:val="844"/>
    <w:uiPriority w:val="0"/>
    <w:qFormat/>
    <w:pPr>
      <w:numPr>
        <w:ilvl w:val="0"/>
        <w:numId w:val="5"/>
      </w:numPr>
      <w:spacing w:before="120"/>
    </w:pPr>
    <w:rPr>
      <w:rFonts w:ascii="宋体"/>
      <w:sz w:val="28"/>
      <w:szCs w:val="20"/>
    </w:rPr>
  </w:style>
  <w:style w:type="paragraph" w:styleId="1185" w:customStyle="1">
    <w:name w:val="font9"/>
    <w:basedOn w:val="844"/>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186" w:customStyle="1">
    <w:name w:val="Char Char Char1 Char1"/>
    <w:basedOn w:val="844"/>
    <w:uiPriority w:val="0"/>
    <w:qFormat/>
    <w:rPr>
      <w:rFonts w:ascii="Tahoma" w:hAnsi="Tahoma"/>
      <w:sz w:val="24"/>
      <w:szCs w:val="20"/>
    </w:rPr>
  </w:style>
  <w:style w:type="paragraph" w:styleId="1187" w:customStyle="1">
    <w:name w:val="Char Char Char Char Char Char Char Char Char Char"/>
    <w:basedOn w:val="844"/>
    <w:uiPriority w:val="0"/>
    <w:qFormat/>
  </w:style>
  <w:style w:type="paragraph" w:styleId="1188" w:customStyle="1">
    <w:name w:val="Char Char1 Char Char Char Char Char Char Char Char"/>
    <w:basedOn w:val="844"/>
    <w:uiPriority w:val="0"/>
    <w:qFormat/>
    <w:pPr>
      <w:jc w:val="left"/>
      <w:spacing w:after="160" w:line="240" w:lineRule="exact"/>
      <w:widowControl/>
    </w:pPr>
    <w:rPr>
      <w:rFonts w:ascii="Verdana" w:hAnsi="Verdana"/>
      <w:sz w:val="20"/>
      <w:szCs w:val="20"/>
      <w:lang w:eastAsia="en-US"/>
    </w:rPr>
  </w:style>
  <w:style w:type="paragraph" w:styleId="1189" w:customStyle="1">
    <w:name w:val="Char1"/>
    <w:basedOn w:val="844"/>
    <w:uiPriority w:val="0"/>
    <w:qFormat/>
    <w:pPr>
      <w:tabs>
        <w:tab w:val="left" w:pos="360" w:leader="none"/>
      </w:tabs>
    </w:pPr>
    <w:rPr>
      <w:sz w:val="24"/>
    </w:rPr>
  </w:style>
  <w:style w:type="paragraph" w:styleId="1190" w:customStyle="1">
    <w:name w:val="正文列项_字母"/>
    <w:basedOn w:val="844"/>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191" w:customStyle="1">
    <w:name w:val="xl28"/>
    <w:basedOn w:val="8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2" w:customStyle="1">
    <w:name w:val="xl47"/>
    <w:basedOn w:val="84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3" w:customStyle="1">
    <w:name w:val="默认段落字体 Para Char Char Char Char"/>
    <w:basedOn w:val="844"/>
    <w:uiPriority w:val="0"/>
    <w:qFormat/>
    <w:rPr>
      <w:rFonts w:ascii="Arial" w:hAnsi="Arial" w:cs="Arial"/>
      <w:szCs w:val="21"/>
    </w:rPr>
  </w:style>
  <w:style w:type="paragraph" w:styleId="1194" w:customStyle="1">
    <w:name w:val="xl48"/>
    <w:basedOn w:val="8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95" w:customStyle="1">
    <w:name w:val="xl31"/>
    <w:basedOn w:val="84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96" w:customStyle="1">
    <w:name w:val="xl53"/>
    <w:basedOn w:val="8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7" w:customStyle="1">
    <w:name w:val="Char Char Char"/>
    <w:basedOn w:val="844"/>
    <w:uiPriority w:val="0"/>
    <w:qFormat/>
    <w:rPr>
      <w:rFonts w:ascii="Tahoma" w:hAnsi="Tahoma"/>
      <w:sz w:val="24"/>
      <w:szCs w:val="20"/>
    </w:rPr>
  </w:style>
  <w:style w:type="paragraph" w:styleId="1198" w:customStyle="1">
    <w:name w:val="xl50"/>
    <w:basedOn w:val="8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99" w:customStyle="1">
    <w:name w:val="缺省文本"/>
    <w:basedOn w:val="844"/>
    <w:uiPriority w:val="0"/>
    <w:qFormat/>
    <w:pPr>
      <w:jc w:val="left"/>
    </w:pPr>
    <w:rPr>
      <w:sz w:val="24"/>
    </w:rPr>
  </w:style>
  <w:style w:type="paragraph" w:styleId="1200" w:customStyle="1">
    <w:name w:val="Char Char Char1"/>
    <w:basedOn w:val="844"/>
    <w:uiPriority w:val="0"/>
    <w:qFormat/>
    <w:rPr>
      <w:rFonts w:ascii="Tahoma" w:hAnsi="Tahoma"/>
      <w:sz w:val="24"/>
      <w:szCs w:val="20"/>
    </w:rPr>
  </w:style>
  <w:style w:type="paragraph" w:styleId="1201" w:customStyle="1">
    <w:name w:val="Char Char Char Char Char Char Char1"/>
    <w:basedOn w:val="844"/>
    <w:uiPriority w:val="0"/>
    <w:qFormat/>
    <w:pPr>
      <w:ind w:firstLine="200"/>
      <w:spacing w:line="360" w:lineRule="auto"/>
    </w:pPr>
    <w:rPr>
      <w:rFonts w:eastAsia="仿宋_GB2312"/>
      <w:sz w:val="24"/>
    </w:rPr>
  </w:style>
  <w:style w:type="paragraph" w:styleId="1202" w:customStyle="1">
    <w:name w:val="xl51"/>
    <w:basedOn w:val="84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3" w:customStyle="1">
    <w:name w:val="样式2"/>
    <w:basedOn w:val="1093"/>
    <w:uiPriority w:val="0"/>
    <w:qFormat/>
    <w:pPr>
      <w:jc w:val="center"/>
      <w:spacing w:line="360" w:lineRule="auto"/>
    </w:pPr>
    <w:rPr>
      <w:sz w:val="24"/>
    </w:rPr>
  </w:style>
  <w:style w:type="paragraph" w:styleId="1204" w:customStyle="1">
    <w:name w:val="xl24"/>
    <w:basedOn w:val="8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5" w:customStyle="1">
    <w:name w:val="xl29"/>
    <w:basedOn w:val="8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06" w:customStyle="1">
    <w:name w:val="正文 + 楷体_GB2312"/>
    <w:basedOn w:val="844"/>
    <w:uiPriority w:val="0"/>
    <w:qFormat/>
    <w:pPr>
      <w:jc w:val="left"/>
      <w:widowControl/>
    </w:pPr>
    <w:rPr>
      <w:rFonts w:ascii="楷体_GB2312" w:eastAsia="楷体_GB2312" w:cs="Arial"/>
      <w:sz w:val="24"/>
    </w:rPr>
  </w:style>
  <w:style w:type="paragraph" w:styleId="1207" w:customStyle="1">
    <w:name w:val="xl34"/>
    <w:basedOn w:val="8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08" w:customStyle="1">
    <w:name w:val="1 Char Char Char Char"/>
    <w:basedOn w:val="844"/>
    <w:uiPriority w:val="0"/>
    <w:qFormat/>
    <w:rPr>
      <w:rFonts w:ascii="Tahoma" w:hAnsi="Tahoma"/>
      <w:sz w:val="24"/>
      <w:szCs w:val="20"/>
    </w:rPr>
  </w:style>
  <w:style w:type="paragraph" w:styleId="1209"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1210" w:customStyle="1">
    <w:name w:val="列出段落1"/>
    <w:basedOn w:val="844"/>
    <w:uiPriority w:val="0"/>
    <w:qFormat/>
    <w:pPr>
      <w:ind w:firstLine="420"/>
    </w:pPr>
    <w:rPr>
      <w:rFonts w:ascii="Calibri" w:hAnsi="Calibri"/>
      <w:szCs w:val="22"/>
    </w:rPr>
  </w:style>
  <w:style w:type="paragraph" w:styleId="1211" w:customStyle="1">
    <w:name w:val="default"/>
    <w:basedOn w:val="844"/>
    <w:uiPriority w:val="0"/>
    <w:qFormat/>
    <w:pPr>
      <w:jc w:val="left"/>
      <w:spacing w:before="100" w:beforeAutospacing="1" w:after="100" w:afterAutospacing="1"/>
      <w:widowControl/>
    </w:pPr>
    <w:rPr>
      <w:rFonts w:ascii="宋体" w:hAnsi="宋体" w:cs="宋体"/>
      <w:sz w:val="24"/>
    </w:rPr>
  </w:style>
  <w:style w:type="paragraph" w:styleId="1212" w:customStyle="1">
    <w:name w:val="字元 字元1"/>
    <w:basedOn w:val="844"/>
    <w:uiPriority w:val="0"/>
    <w:qFormat/>
    <w:rPr>
      <w:rFonts w:ascii="Tahoma" w:hAnsi="Tahoma"/>
      <w:sz w:val="24"/>
      <w:szCs w:val="20"/>
    </w:rPr>
  </w:style>
  <w:style w:type="paragraph" w:styleId="1213" w:customStyle="1">
    <w:name w:val="_Style 160"/>
    <w:uiPriority w:val="0"/>
    <w:qFormat/>
    <w:rPr>
      <w:rFonts w:hint="default" w:ascii="Times New Roman" w:hAnsi="Times New Roman" w:eastAsia="宋体" w:cs="Times New Roman"/>
      <w:sz w:val="21"/>
      <w:szCs w:val="24"/>
      <w:lang w:val="en-US" w:eastAsia="zh-CN" w:bidi="ar-SA"/>
    </w:rPr>
  </w:style>
  <w:style w:type="paragraph" w:styleId="1214" w:customStyle="1">
    <w:name w:val="项目编号3"/>
    <w:basedOn w:val="1174"/>
    <w:uiPriority w:val="0"/>
    <w:qFormat/>
    <w:pPr>
      <w:numPr>
        <w:ilvl w:val="0"/>
        <w:numId w:val="6"/>
      </w:numPr>
    </w:pPr>
  </w:style>
  <w:style w:type="paragraph" w:styleId="1215" w:customStyle="1">
    <w:name w:val="Char21"/>
    <w:basedOn w:val="844"/>
    <w:uiPriority w:val="0"/>
    <w:qFormat/>
    <w:rPr>
      <w:rFonts w:ascii="Tahoma" w:hAnsi="Tahoma"/>
      <w:sz w:val="24"/>
      <w:szCs w:val="20"/>
    </w:rPr>
  </w:style>
  <w:style w:type="paragraph" w:styleId="1216" w:customStyle="1">
    <w:name w:val="表格文字"/>
    <w:basedOn w:val="1064"/>
    <w:uiPriority w:val="0"/>
    <w:qFormat/>
    <w:pPr>
      <w:ind w:firstLine="0"/>
      <w:spacing w:before="20" w:after="20" w:line="240" w:lineRule="auto"/>
    </w:pPr>
    <w:rPr>
      <w:rFonts w:ascii="Century Gothic" w:hAnsi="Century Gothic"/>
      <w:sz w:val="20"/>
      <w:szCs w:val="20"/>
    </w:rPr>
  </w:style>
  <w:style w:type="paragraph" w:styleId="1217" w:customStyle="1">
    <w:name w:val="Char Char Char Char Char Char Char Char Char Char1"/>
    <w:basedOn w:val="844"/>
    <w:uiPriority w:val="0"/>
    <w:qFormat/>
    <w:rPr>
      <w:rFonts w:ascii="宋体" w:hAnsi="宋体" w:cs="Courier New"/>
      <w:sz w:val="32"/>
      <w:szCs w:val="32"/>
    </w:rPr>
  </w:style>
  <w:style w:type="paragraph" w:styleId="1218" w:customStyle="1">
    <w:name w:val="正文文本样式 加粗"/>
    <w:basedOn w:val="1174"/>
    <w:uiPriority w:val="0"/>
    <w:qFormat/>
    <w:rPr>
      <w:b/>
    </w:rPr>
  </w:style>
  <w:style w:type="paragraph" w:styleId="1219" w:customStyle="1">
    <w:name w:val="Char2 Char Char Char Char Char Char"/>
    <w:basedOn w:val="844"/>
    <w:uiPriority w:val="0"/>
    <w:qFormat/>
    <w:pPr>
      <w:jc w:val="center"/>
      <w:spacing w:line="400" w:lineRule="exact"/>
      <w:widowControl/>
    </w:pPr>
  </w:style>
  <w:style w:type="paragraph" w:styleId="1220" w:customStyle="1">
    <w:name w:val="Char Char4"/>
    <w:basedOn w:val="844"/>
    <w:uiPriority w:val="0"/>
    <w:qFormat/>
    <w:pPr>
      <w:jc w:val="center"/>
      <w:spacing w:line="400" w:lineRule="exact"/>
      <w:widowControl/>
    </w:pPr>
  </w:style>
  <w:style w:type="paragraph" w:styleId="1221" w:customStyle="1">
    <w:name w:val="Char3 Char Char Char1"/>
    <w:basedOn w:val="844"/>
    <w:uiPriority w:val="0"/>
    <w:qFormat/>
    <w:rPr>
      <w:rFonts w:ascii="Tahoma" w:hAnsi="Tahoma"/>
      <w:sz w:val="24"/>
      <w:szCs w:val="20"/>
    </w:rPr>
  </w:style>
  <w:style w:type="paragraph" w:styleId="1222"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3" w:customStyle="1">
    <w:name w:val="22222222222222"/>
    <w:basedOn w:val="844"/>
    <w:uiPriority w:val="0"/>
    <w:qFormat/>
    <w:pPr>
      <w:ind w:firstLine="480"/>
      <w:jc w:val="left"/>
      <w:spacing w:line="360" w:lineRule="auto"/>
      <w:widowControl/>
    </w:pPr>
    <w:rPr>
      <w:color w:val="ff0000"/>
      <w:sz w:val="24"/>
      <w:szCs w:val="20"/>
    </w:rPr>
  </w:style>
  <w:style w:type="character" w:styleId="1224" w:customStyle="1">
    <w:name w:val="中等深浅网格 1 - 强调文字颜色 2 Char"/>
    <w:link w:val="1225"/>
    <w:uiPriority w:val="0"/>
    <w:qFormat/>
    <w:rPr>
      <w:sz w:val="21"/>
      <w:szCs w:val="24"/>
      <w:lang w:val="zh-CN" w:eastAsia="zh-CN" w:bidi="ar-SA"/>
    </w:rPr>
  </w:style>
  <w:style w:type="paragraph" w:styleId="1225" w:customStyle="1">
    <w:name w:val="1"/>
    <w:link w:val="1224"/>
    <w:uiPriority w:val="0"/>
    <w:qFormat/>
    <w:rPr>
      <w:rFonts w:hint="default" w:ascii="Times New Roman" w:hAnsi="Times New Roman" w:eastAsia="宋体" w:cs="Times New Roman"/>
      <w:sz w:val="21"/>
      <w:szCs w:val="24"/>
      <w:lang w:val="zh-CN" w:eastAsia="zh-CN" w:bidi="ar-SA"/>
    </w:rPr>
  </w:style>
  <w:style w:type="paragraph" w:styleId="1226" w:customStyle="1">
    <w:name w:val="图文"/>
    <w:basedOn w:val="844"/>
    <w:uiPriority w:val="0"/>
    <w:qFormat/>
    <w:pPr>
      <w:spacing w:after="50" w:line="360" w:lineRule="auto"/>
    </w:pPr>
    <w:rPr>
      <w:sz w:val="24"/>
    </w:rPr>
  </w:style>
  <w:style w:type="paragraph" w:styleId="1227" w:customStyle="1">
    <w:name w:val="xl23"/>
    <w:basedOn w:val="844"/>
    <w:uiPriority w:val="0"/>
    <w:qFormat/>
    <w:pPr>
      <w:spacing w:before="100" w:beforeAutospacing="1" w:after="100" w:afterAutospacing="1" w:line="360" w:lineRule="auto"/>
      <w:widowControl/>
    </w:pPr>
    <w:rPr>
      <w:sz w:val="24"/>
      <w:szCs w:val="20"/>
    </w:rPr>
  </w:style>
  <w:style w:type="paragraph" w:styleId="1228" w:customStyle="1">
    <w:name w:val="正文表格"/>
    <w:basedOn w:val="844"/>
    <w:link w:val="1229"/>
    <w:uiPriority w:val="0"/>
    <w:qFormat/>
    <w:pPr>
      <w:jc w:val="left"/>
    </w:pPr>
    <w:rPr>
      <w:rFonts w:ascii="宋体" w:hAnsi="宋体"/>
      <w:color w:val="000000"/>
      <w:szCs w:val="21"/>
    </w:rPr>
  </w:style>
  <w:style w:type="character" w:styleId="1229" w:customStyle="1">
    <w:name w:val="正文表格 Char"/>
    <w:link w:val="1228"/>
    <w:uiPriority w:val="0"/>
    <w:qFormat/>
    <w:rPr>
      <w:rFonts w:ascii="宋体" w:hAnsi="宋体"/>
      <w:color w:val="000000"/>
      <w:sz w:val="21"/>
      <w:szCs w:val="21"/>
    </w:rPr>
  </w:style>
  <w:style w:type="paragraph" w:styleId="1230" w:customStyle="1">
    <w:name w:val="正文重点"/>
    <w:basedOn w:val="844"/>
    <w:link w:val="1231"/>
    <w:uiPriority w:val="0"/>
    <w:qFormat/>
    <w:pPr>
      <w:ind w:firstLine="482"/>
      <w:jc w:val="left"/>
      <w:spacing w:line="360" w:lineRule="auto"/>
    </w:pPr>
    <w:rPr>
      <w:b/>
      <w:sz w:val="24"/>
      <w:szCs w:val="20"/>
    </w:rPr>
  </w:style>
  <w:style w:type="character" w:styleId="1231" w:customStyle="1">
    <w:name w:val="正文重点 Char"/>
    <w:link w:val="1230"/>
    <w:uiPriority w:val="0"/>
    <w:qFormat/>
    <w:rPr>
      <w:b/>
      <w:sz w:val="24"/>
    </w:rPr>
  </w:style>
  <w:style w:type="paragraph" w:styleId="1232" w:customStyle="1">
    <w:name w:val="标题1-附件"/>
    <w:basedOn w:val="1032"/>
    <w:uiPriority w:val="0"/>
    <w:qFormat/>
    <w:pPr>
      <w:jc w:val="left"/>
    </w:pPr>
    <w:rPr>
      <w:sz w:val="24"/>
      <w:szCs w:val="24"/>
    </w:rPr>
  </w:style>
  <w:style w:type="paragraph" w:styleId="1233" w:customStyle="1">
    <w:name w:val="正文小标题"/>
    <w:basedOn w:val="844"/>
    <w:next w:val="1035"/>
    <w:link w:val="1234"/>
    <w:uiPriority w:val="0"/>
    <w:qFormat/>
    <w:pPr>
      <w:ind w:firstLine="482"/>
      <w:jc w:val="left"/>
      <w:spacing w:before="312" w:after="312"/>
    </w:pPr>
    <w:rPr>
      <w:rFonts w:ascii="宋体" w:hAnsi="宋体"/>
      <w:b/>
      <w:i/>
      <w:color w:val="ff0000"/>
      <w:sz w:val="24"/>
      <w:szCs w:val="20"/>
    </w:rPr>
  </w:style>
  <w:style w:type="character" w:styleId="1234" w:customStyle="1">
    <w:name w:val="正文小标题 Char"/>
    <w:link w:val="1233"/>
    <w:uiPriority w:val="0"/>
    <w:qFormat/>
    <w:rPr>
      <w:rFonts w:ascii="宋体" w:hAnsi="宋体"/>
      <w:b/>
      <w:i/>
      <w:color w:val="ff0000"/>
      <w:sz w:val="24"/>
    </w:rPr>
  </w:style>
  <w:style w:type="paragraph" w:styleId="1235" w:customStyle="1">
    <w:name w:val="正文大标题"/>
    <w:basedOn w:val="1233"/>
    <w:next w:val="1035"/>
    <w:link w:val="1236"/>
    <w:uiPriority w:val="0"/>
    <w:qFormat/>
    <w:pPr>
      <w:jc w:val="center"/>
    </w:pPr>
    <w:rPr>
      <w:i w:val="0"/>
      <w:color w:val="000000"/>
      <w:sz w:val="28"/>
      <w:szCs w:val="21"/>
    </w:rPr>
  </w:style>
  <w:style w:type="character" w:styleId="1236" w:customStyle="1">
    <w:name w:val="正文大标题 Char"/>
    <w:link w:val="1235"/>
    <w:uiPriority w:val="0"/>
    <w:qFormat/>
    <w:rPr>
      <w:rFonts w:ascii="宋体" w:hAnsi="宋体"/>
      <w:b/>
      <w:color w:val="000000"/>
      <w:sz w:val="28"/>
      <w:szCs w:val="21"/>
    </w:rPr>
  </w:style>
  <w:style w:type="paragraph" w:styleId="1237" w:customStyle="1">
    <w:name w:val="注释"/>
    <w:basedOn w:val="844"/>
    <w:link w:val="1238"/>
    <w:uiPriority w:val="0"/>
    <w:qFormat/>
    <w:pPr>
      <w:ind w:left="420" w:hanging="420"/>
      <w:jc w:val="left"/>
    </w:pPr>
    <w:rPr>
      <w:rFonts w:ascii="宋体" w:hAnsi="宋体"/>
      <w:szCs w:val="21"/>
    </w:rPr>
  </w:style>
  <w:style w:type="character" w:styleId="1238" w:customStyle="1">
    <w:name w:val="注释 Char"/>
    <w:link w:val="1237"/>
    <w:uiPriority w:val="0"/>
    <w:qFormat/>
    <w:rPr>
      <w:rFonts w:ascii="宋体" w:hAnsi="宋体"/>
      <w:sz w:val="21"/>
      <w:szCs w:val="21"/>
    </w:rPr>
  </w:style>
  <w:style w:type="paragraph" w:styleId="1239" w:customStyle="1">
    <w:name w:val="正文须知-1级"/>
    <w:basedOn w:val="844"/>
    <w:next w:val="844"/>
    <w:uiPriority w:val="0"/>
    <w:qFormat/>
    <w:pPr>
      <w:numPr>
        <w:ilvl w:val="0"/>
        <w:numId w:val="7"/>
      </w:numPr>
      <w:spacing w:line="300" w:lineRule="auto"/>
    </w:pPr>
    <w:rPr>
      <w:rFonts w:ascii="宋体" w:hAnsi="Calibri"/>
      <w:sz w:val="24"/>
      <w:szCs w:val="21"/>
    </w:rPr>
  </w:style>
  <w:style w:type="paragraph" w:styleId="1240" w:customStyle="1">
    <w:name w:val="正文须知-2级"/>
    <w:basedOn w:val="844"/>
    <w:uiPriority w:val="0"/>
    <w:qFormat/>
    <w:pPr>
      <w:numPr>
        <w:ilvl w:val="1"/>
        <w:numId w:val="7"/>
      </w:numPr>
      <w:spacing w:line="300" w:lineRule="auto"/>
    </w:pPr>
    <w:rPr>
      <w:rFonts w:ascii="宋体" w:hAnsi="Calibri"/>
      <w:sz w:val="24"/>
      <w:szCs w:val="21"/>
    </w:rPr>
  </w:style>
  <w:style w:type="paragraph" w:styleId="1241" w:customStyle="1">
    <w:name w:val="正文须知-3级"/>
    <w:basedOn w:val="844"/>
    <w:uiPriority w:val="0"/>
    <w:qFormat/>
    <w:pPr>
      <w:numPr>
        <w:ilvl w:val="2"/>
        <w:numId w:val="7"/>
      </w:numPr>
      <w:ind w:hanging="355"/>
      <w:spacing w:line="300" w:lineRule="auto"/>
    </w:pPr>
    <w:rPr>
      <w:rFonts w:ascii="宋体" w:hAnsi="Calibri"/>
      <w:sz w:val="24"/>
      <w:szCs w:val="21"/>
    </w:rPr>
  </w:style>
  <w:style w:type="character" w:styleId="1242" w:customStyle="1">
    <w:name w:val="纯文本 字符"/>
    <w:link w:val="844"/>
    <w:uiPriority w:val="99"/>
    <w:qFormat/>
    <w:rPr>
      <w:rFonts w:ascii="宋体" w:hAnsi="Courier New" w:eastAsia="宋体" w:cs="Times New Roman"/>
      <w:sz w:val="21"/>
      <w:szCs w:val="21"/>
      <w:lang w:val="en-US" w:eastAsia="zh-CN" w:bidi="ar-SA"/>
    </w:rPr>
  </w:style>
  <w:style w:type="paragraph" w:styleId="1243" w:customStyle="1">
    <w:name w:val="表格1"/>
    <w:basedOn w:val="844"/>
    <w:uiPriority w:val="0"/>
    <w:qFormat/>
    <w:pPr>
      <w:ind w:firstLine="480"/>
      <w:jc w:val="center"/>
    </w:pPr>
    <w:rPr>
      <w:sz w:val="24"/>
      <w:szCs w:val="20"/>
    </w:rPr>
  </w:style>
  <w:style w:type="character" w:styleId="1244" w:customStyle="1">
    <w:name w:val="纯文本 字符1"/>
    <w:link w:val="844"/>
    <w:uiPriority w:val="0"/>
    <w:qFormat/>
    <w:rPr>
      <w:rFonts w:ascii="宋体" w:hAnsi="Courier New"/>
    </w:rPr>
  </w:style>
  <w:style w:type="character" w:styleId="1245" w:customStyle="1">
    <w:name w:val="bjh-p"/>
    <w:link w:val="844"/>
    <w:uiPriority w:val="0"/>
    <w:qFormat/>
  </w:style>
  <w:style w:type="paragraph" w:styleId="1246" w:customStyle="1">
    <w:name w:val="无标题条"/>
    <w:next w:val="844"/>
    <w:uiPriority w:val="0"/>
    <w:qFormat/>
    <w:pPr>
      <w:jc w:val="both"/>
    </w:pPr>
    <w:rPr>
      <w:rFonts w:hint="default" w:ascii="Times New Roman" w:hAnsi="Times New Roman" w:eastAsia="宋体" w:cs="Times New Roman"/>
      <w:sz w:val="21"/>
      <w:lang w:val="en-US" w:eastAsia="zh-CN" w:bidi="ar-SA"/>
    </w:rPr>
  </w:style>
  <w:style w:type="character" w:styleId="1247" w:customStyle="1">
    <w:name w:val="正文格式 Char"/>
    <w:link w:val="1248"/>
    <w:uiPriority w:val="0"/>
    <w:qFormat/>
    <w:rPr>
      <w:rFonts w:ascii="宋体" w:hAnsi="宋体"/>
      <w:sz w:val="24"/>
      <w:szCs w:val="24"/>
      <w:lang w:val="en-GB"/>
    </w:rPr>
  </w:style>
  <w:style w:type="paragraph" w:styleId="1248" w:customStyle="1">
    <w:name w:val="正文格式"/>
    <w:basedOn w:val="844"/>
    <w:link w:val="1247"/>
    <w:uiPriority w:val="0"/>
    <w:qFormat/>
    <w:pPr>
      <w:ind w:firstLine="480"/>
      <w:spacing w:line="360" w:lineRule="auto"/>
    </w:pPr>
    <w:rPr>
      <w:rFonts w:ascii="宋体" w:hAnsi="宋体"/>
      <w:sz w:val="24"/>
      <w:lang w:val="en-GB"/>
    </w:rPr>
  </w:style>
  <w:style w:type="character" w:styleId="1249" w:customStyle="1">
    <w:name w:val="标题 3 Char"/>
    <w:link w:val="844"/>
    <w:uiPriority w:val="0"/>
    <w:qFormat/>
    <w:rPr>
      <w:rFonts w:ascii="宋体" w:eastAsia="宋体"/>
      <w:b/>
      <w:sz w:val="24"/>
      <w:u w:val="single"/>
      <w:lang w:val="en-US" w:eastAsia="zh-CN" w:bidi="ar-SA"/>
    </w:rPr>
  </w:style>
  <w:style w:type="character" w:styleId="1250" w:customStyle="1">
    <w:name w:val="正文缩进 Char"/>
    <w:link w:val="844"/>
    <w:uiPriority w:val="0"/>
    <w:qFormat/>
    <w:rPr>
      <w:rFonts w:ascii="宋体" w:eastAsia="宋体"/>
      <w:sz w:val="24"/>
      <w:szCs w:val="24"/>
      <w:lang w:val="en-US" w:eastAsia="zh-CN" w:bidi="ar-SA"/>
    </w:rPr>
  </w:style>
  <w:style w:type="character" w:styleId="1251" w:customStyle="1">
    <w:name w:val="Char Char111"/>
    <w:link w:val="844"/>
    <w:uiPriority w:val="0"/>
    <w:qFormat/>
    <w:rPr>
      <w:rFonts w:ascii="宋体" w:eastAsia="宋体"/>
      <w:b/>
      <w:sz w:val="24"/>
      <w:u w:val="single"/>
      <w:lang w:val="en-US" w:eastAsia="zh-CN" w:bidi="ar-SA"/>
    </w:rPr>
  </w:style>
  <w:style w:type="character" w:styleId="1252" w:customStyle="1">
    <w:name w:val="正文文本缩进 Char"/>
    <w:link w:val="844"/>
    <w:uiPriority w:val="0"/>
    <w:qFormat/>
    <w:rPr>
      <w:rFonts w:eastAsia="宋体"/>
      <w:sz w:val="24"/>
      <w:szCs w:val="24"/>
      <w:lang w:val="en-US" w:eastAsia="zh-CN" w:bidi="ar-SA"/>
    </w:rPr>
  </w:style>
  <w:style w:type="character" w:styleId="1253" w:customStyle="1">
    <w:name w:val="列出段落 Char"/>
    <w:link w:val="844"/>
    <w:uiPriority w:val="0"/>
    <w:qFormat/>
    <w:rPr>
      <w:rFonts w:ascii="Calibri" w:hAnsi="Calibri" w:eastAsia="宋体"/>
      <w:sz w:val="21"/>
      <w:szCs w:val="22"/>
      <w:lang w:val="en-US" w:eastAsia="zh-CN" w:bidi="ar-SA"/>
    </w:rPr>
  </w:style>
  <w:style w:type="character" w:styleId="1254" w:customStyle="1">
    <w:name w:val="页眉 Char"/>
    <w:link w:val="844"/>
    <w:uiPriority w:val="0"/>
    <w:qFormat/>
    <w:rPr>
      <w:rFonts w:eastAsia="宋体"/>
      <w:sz w:val="18"/>
      <w:szCs w:val="18"/>
      <w:lang w:val="en-US" w:eastAsia="zh-CN" w:bidi="ar-SA"/>
    </w:rPr>
  </w:style>
  <w:style w:type="character" w:styleId="1255" w:customStyle="1">
    <w:name w:val="标题 2 Char"/>
    <w:link w:val="844"/>
    <w:uiPriority w:val="0"/>
    <w:qFormat/>
    <w:rPr>
      <w:rFonts w:ascii="Arial" w:hAnsi="Arial" w:eastAsia="黑体"/>
      <w:b/>
      <w:sz w:val="30"/>
      <w:lang w:val="en-US" w:eastAsia="zh-CN" w:bidi="ar-SA"/>
    </w:rPr>
  </w:style>
  <w:style w:type="paragraph" w:styleId="1256" w:customStyle="1">
    <w:name w:val="字元 字元2"/>
    <w:basedOn w:val="844"/>
    <w:uiPriority w:val="0"/>
    <w:qFormat/>
    <w:rPr>
      <w:rFonts w:ascii="Tahoma" w:hAnsi="Tahoma"/>
      <w:sz w:val="24"/>
      <w:szCs w:val="20"/>
    </w:rPr>
  </w:style>
  <w:style w:type="paragraph" w:styleId="1257" w:customStyle="1">
    <w:name w:val="Char3 Char Char Char2"/>
    <w:basedOn w:val="844"/>
    <w:uiPriority w:val="0"/>
    <w:qFormat/>
    <w:rPr>
      <w:rFonts w:ascii="Tahoma" w:hAnsi="Tahoma"/>
      <w:sz w:val="24"/>
      <w:szCs w:val="20"/>
    </w:rPr>
  </w:style>
  <w:style w:type="paragraph" w:styleId="1258" w:customStyle="1">
    <w:name w:val="正文文本缩进2"/>
    <w:basedOn w:val="844"/>
    <w:uiPriority w:val="0"/>
    <w:qFormat/>
    <w:pPr>
      <w:ind w:firstLine="480"/>
      <w:spacing w:line="480" w:lineRule="exact"/>
    </w:pPr>
    <w:rPr>
      <w:rFonts w:ascii="宋体" w:hAnsi="宋体"/>
      <w:sz w:val="24"/>
      <w:lang w:val="zh-CN" w:eastAsia="zh-CN"/>
    </w:rPr>
  </w:style>
  <w:style w:type="paragraph" w:styleId="1259" w:customStyle="1">
    <w:name w:val="Char3"/>
    <w:basedOn w:val="844"/>
    <w:uiPriority w:val="0"/>
    <w:qFormat/>
    <w:pPr>
      <w:tabs>
        <w:tab w:val="left" w:pos="360" w:leader="none"/>
      </w:tabs>
    </w:pPr>
    <w:rPr>
      <w:sz w:val="24"/>
    </w:rPr>
  </w:style>
  <w:style w:type="paragraph" w:styleId="1260" w:customStyle="1">
    <w:name w:val="Char Char Char Char Char Char Char Char Char Char Char Char Char Char Char Char1"/>
    <w:basedOn w:val="844"/>
    <w:uiPriority w:val="0"/>
    <w:qFormat/>
    <w:pPr>
      <w:jc w:val="center"/>
      <w:spacing w:after="160" w:line="240" w:lineRule="exact"/>
      <w:widowControl/>
    </w:pPr>
    <w:rPr>
      <w:rFonts w:ascii="宋体" w:hAnsi="宋体"/>
      <w:b/>
      <w:sz w:val="30"/>
      <w:szCs w:val="30"/>
      <w:lang w:eastAsia="en-US"/>
    </w:rPr>
  </w:style>
  <w:style w:type="paragraph" w:styleId="1261" w:customStyle="1">
    <w:name w:val="Char Char1 Char Char Char Char Char Char1"/>
    <w:basedOn w:val="844"/>
    <w:uiPriority w:val="0"/>
    <w:qFormat/>
    <w:pPr>
      <w:jc w:val="left"/>
      <w:spacing w:after="160" w:line="240" w:lineRule="exact"/>
      <w:widowControl/>
    </w:pPr>
    <w:rPr>
      <w:rFonts w:ascii="Verdana" w:hAnsi="Verdana" w:eastAsia="仿宋_GB2312"/>
      <w:sz w:val="24"/>
      <w:szCs w:val="20"/>
      <w:lang w:eastAsia="en-US"/>
    </w:rPr>
  </w:style>
  <w:style w:type="paragraph" w:styleId="1262" w:customStyle="1">
    <w:name w:val="列出段落2"/>
    <w:basedOn w:val="844"/>
    <w:uiPriority w:val="0"/>
    <w:qFormat/>
    <w:pPr>
      <w:ind w:firstLine="420"/>
    </w:pPr>
    <w:rPr>
      <w:rFonts w:ascii="Calibri" w:hAnsi="Calibri"/>
      <w:szCs w:val="22"/>
    </w:rPr>
  </w:style>
  <w:style w:type="paragraph" w:styleId="1263" w:customStyle="1">
    <w:name w:val="Char Char Char1 Char2"/>
    <w:basedOn w:val="844"/>
    <w:uiPriority w:val="0"/>
    <w:qFormat/>
    <w:rPr>
      <w:rFonts w:ascii="Tahoma" w:hAnsi="Tahoma"/>
      <w:sz w:val="24"/>
      <w:szCs w:val="20"/>
    </w:rPr>
  </w:style>
  <w:style w:type="paragraph" w:styleId="1264" w:customStyle="1">
    <w:name w:val="Char Char Char2"/>
    <w:basedOn w:val="844"/>
    <w:uiPriority w:val="0"/>
    <w:qFormat/>
    <w:rPr>
      <w:rFonts w:ascii="Tahoma" w:hAnsi="Tahoma"/>
      <w:sz w:val="24"/>
      <w:szCs w:val="20"/>
    </w:rPr>
  </w:style>
  <w:style w:type="paragraph" w:styleId="1265" w:customStyle="1">
    <w:name w:val="Char Char Char Char Char Char Char2"/>
    <w:basedOn w:val="844"/>
    <w:uiPriority w:val="0"/>
    <w:qFormat/>
    <w:pPr>
      <w:ind w:firstLine="200"/>
      <w:spacing w:line="360" w:lineRule="auto"/>
    </w:pPr>
    <w:rPr>
      <w:rFonts w:eastAsia="仿宋_GB2312"/>
      <w:sz w:val="24"/>
    </w:rPr>
  </w:style>
  <w:style w:type="paragraph" w:styleId="1266" w:customStyle="1">
    <w:name w:val="正文缩进2"/>
    <w:basedOn w:val="844"/>
    <w:uiPriority w:val="0"/>
    <w:qFormat/>
    <w:pPr>
      <w:ind w:firstLine="567"/>
      <w:spacing w:line="480" w:lineRule="exact"/>
      <w:widowControl/>
    </w:pPr>
    <w:rPr>
      <w:rFonts w:ascii="宋体"/>
      <w:color w:val="000000"/>
      <w:sz w:val="28"/>
      <w:szCs w:val="20"/>
      <w:lang w:val="zh-CN" w:eastAsia="zh-CN"/>
    </w:rPr>
  </w:style>
  <w:style w:type="paragraph" w:styleId="1267" w:customStyle="1">
    <w:name w:val="Revision"/>
    <w:uiPriority w:val="0"/>
    <w:qFormat/>
    <w:rPr>
      <w:rFonts w:hint="default" w:ascii="Times New Roman" w:hAnsi="Times New Roman" w:eastAsia="宋体" w:cs="Times New Roman"/>
      <w:sz w:val="21"/>
      <w:szCs w:val="24"/>
      <w:lang w:val="en-US" w:eastAsia="zh-CN" w:bidi="ar-SA"/>
    </w:rPr>
  </w:style>
  <w:style w:type="paragraph" w:styleId="1268" w:customStyle="1">
    <w:name w:val="Char22"/>
    <w:basedOn w:val="844"/>
    <w:uiPriority w:val="0"/>
    <w:qFormat/>
    <w:rPr>
      <w:rFonts w:ascii="Tahoma" w:hAnsi="Tahoma"/>
      <w:sz w:val="24"/>
      <w:szCs w:val="20"/>
    </w:rPr>
  </w:style>
  <w:style w:type="paragraph" w:styleId="1269" w:customStyle="1">
    <w:name w:val="Char Char Char Char Char Char Char Char Char Char2"/>
    <w:basedOn w:val="844"/>
    <w:uiPriority w:val="0"/>
    <w:qFormat/>
    <w:rPr>
      <w:rFonts w:ascii="宋体" w:hAnsi="宋体" w:cs="Courier New"/>
      <w:sz w:val="32"/>
      <w:szCs w:val="32"/>
    </w:rPr>
  </w:style>
  <w:style w:type="paragraph" w:styleId="1270" w:customStyle="1">
    <w:name w:val="Char2 Char Char Char Char Char Char1"/>
    <w:basedOn w:val="844"/>
    <w:uiPriority w:val="0"/>
    <w:qFormat/>
    <w:pPr>
      <w:jc w:val="center"/>
      <w:spacing w:line="400" w:lineRule="exact"/>
      <w:widowControl/>
    </w:pPr>
  </w:style>
  <w:style w:type="character" w:styleId="1271" w:customStyle="1">
    <w:name w:val="页脚 Char"/>
    <w:link w:val="844"/>
    <w:uiPriority w:val="0"/>
    <w:qFormat/>
    <w:rPr>
      <w:rFonts w:ascii="宋体" w:eastAsia="宋体"/>
      <w:sz w:val="18"/>
      <w:lang w:val="en-US" w:eastAsia="zh-CN" w:bidi="ar-SA"/>
    </w:rPr>
  </w:style>
  <w:style w:type="paragraph" w:styleId="1272" w:customStyle="1">
    <w:name w:val="Char Char41"/>
    <w:basedOn w:val="844"/>
    <w:uiPriority w:val="0"/>
    <w:qFormat/>
    <w:pPr>
      <w:jc w:val="center"/>
      <w:spacing w:line="400" w:lineRule="exact"/>
      <w:widowControl/>
    </w:pPr>
  </w:style>
  <w:style w:type="character" w:styleId="1273" w:customStyle="1">
    <w:name w:val="批注文字 Char"/>
    <w:link w:val="844"/>
    <w:uiPriority w:val="99"/>
    <w:qFormat/>
    <w:rPr>
      <w:sz w:val="21"/>
      <w:szCs w:val="24"/>
    </w:rPr>
  </w:style>
  <w:style w:type="character" w:styleId="1274" w:customStyle="1">
    <w:name w:val="标题 Char"/>
    <w:link w:val="844"/>
    <w:uiPriority w:val="0"/>
    <w:qFormat/>
    <w:rPr>
      <w:b/>
      <w:sz w:val="32"/>
    </w:rPr>
  </w:style>
  <w:style w:type="paragraph" w:styleId="1275" w:customStyle="1">
    <w:name w:val="图例"/>
    <w:basedOn w:val="844"/>
    <w:uiPriority w:val="0"/>
    <w:qFormat/>
    <w:pPr>
      <w:jc w:val="center"/>
      <w:spacing w:before="120" w:after="120" w:line="360" w:lineRule="auto"/>
    </w:pPr>
    <w:rPr>
      <w:rFonts w:eastAsia="仿宋_GB2312"/>
      <w:b/>
      <w:sz w:val="24"/>
      <w:szCs w:val="20"/>
    </w:rPr>
  </w:style>
  <w:style w:type="paragraph" w:styleId="1276" w:customStyle="1">
    <w:name w:val="Table Paragraph"/>
    <w:basedOn w:val="844"/>
    <w:uiPriority w:val="1"/>
    <w:qFormat/>
    <w:pPr>
      <w:jc w:val="left"/>
    </w:pPr>
    <w:rPr>
      <w:rFonts w:ascii="宋体" w:hAnsi="宋体" w:cs="宋体"/>
      <w:sz w:val="22"/>
      <w:szCs w:val="22"/>
      <w:lang w:eastAsia="en-US"/>
    </w:rPr>
  </w:style>
  <w:style w:type="table" w:styleId="1277" w:customStyle="1">
    <w:name w:val="Table Normal"/>
    <w:uiPriority w:val="2"/>
    <w:semiHidden/>
    <w:qFormat/>
    <w:pPr>
      <w:widowControl w:val="off"/>
    </w:pPr>
    <w:rPr>
      <w:rFonts w:ascii="Calibri" w:hAnsi="Calibri"/>
      <w:sz w:val="22"/>
      <w:szCs w:val="22"/>
      <w:lang w:val="en-US" w:eastAsia="en-US" w:bidi="ar-SA"/>
    </w:rPr>
    <w:tblPr/>
  </w:style>
  <w:style w:type="paragraph" w:styleId="1278" w:customStyle="1">
    <w:name w:val="成文日期"/>
    <w:basedOn w:val="844"/>
    <w:link w:val="1279"/>
    <w:uiPriority w:val="0"/>
    <w:qFormat/>
    <w:pPr>
      <w:ind w:right="400" w:firstLine="200"/>
      <w:jc w:val="right"/>
      <w:spacing w:line="570" w:lineRule="exact"/>
    </w:pPr>
    <w:rPr>
      <w:rFonts w:ascii="仿宋_GB2312" w:eastAsia="仿宋_GB2312"/>
      <w:sz w:val="32"/>
      <w:szCs w:val="20"/>
    </w:rPr>
  </w:style>
  <w:style w:type="character" w:styleId="1279" w:customStyle="1">
    <w:name w:val="成文日期 Char"/>
    <w:link w:val="1278"/>
    <w:uiPriority w:val="0"/>
    <w:qFormat/>
    <w:rPr>
      <w:rFonts w:ascii="仿宋_GB2312" w:eastAsia="仿宋_GB2312"/>
      <w:sz w:val="32"/>
    </w:rPr>
  </w:style>
  <w:style w:type="paragraph" w:styleId="1280" w:customStyle="1">
    <w:name w:val="pa-1"/>
    <w:basedOn w:val="844"/>
    <w:uiPriority w:val="0"/>
    <w:qFormat/>
    <w:pPr>
      <w:jc w:val="left"/>
      <w:spacing w:before="100" w:beforeAutospacing="1" w:after="100" w:afterAutospacing="1"/>
      <w:widowControl/>
    </w:pPr>
    <w:rPr>
      <w:rFonts w:ascii="宋体" w:hAnsi="宋体" w:cs="宋体"/>
      <w:sz w:val="24"/>
    </w:rPr>
  </w:style>
  <w:style w:type="paragraph" w:styleId="1281" w:customStyle="1">
    <w:name w:val="正文_60_0"/>
    <w:uiPriority w:val="0"/>
    <w:qFormat/>
    <w:pPr>
      <w:jc w:val="both"/>
      <w:widowControl w:val="off"/>
    </w:pPr>
    <w:rPr>
      <w:rFonts w:ascii="Calibri" w:hAnsi="Calibri" w:eastAsia="宋体" w:cs="Times New Roman"/>
      <w:sz w:val="21"/>
      <w:szCs w:val="22"/>
      <w:lang w:val="en-US" w:eastAsia="zh-CN" w:bidi="ar-SA"/>
    </w:rPr>
  </w:style>
  <w:style w:type="paragraph" w:styleId="1282" w:customStyle="1">
    <w:name w:val="正文1"/>
    <w:basedOn w:val="844"/>
    <w:next w:val="844"/>
    <w:uiPriority w:val="0"/>
    <w:qFormat/>
    <w:pPr>
      <w:ind w:left="420" w:firstLine="527"/>
      <w:spacing w:before="120" w:line="360" w:lineRule="auto"/>
    </w:pPr>
    <w:rPr>
      <w:rFonts w:ascii="宋体" w:hAnsi="宋体"/>
    </w:rPr>
  </w:style>
  <w:style w:type="paragraph" w:styleId="1283" w:customStyle="1">
    <w:name w:val="Plain Text"/>
    <w:next w:val="869"/>
    <w:uiPriority w:val="0"/>
    <w:qFormat/>
    <w:pPr>
      <w:jc w:val="both"/>
      <w:widowControl w:val="off"/>
    </w:pPr>
    <w:rPr>
      <w:rFonts w:ascii="宋体" w:hAnsi="宋体" w:eastAsia="宋体" w:cs="Times New Roman"/>
      <w:sz w:val="26"/>
      <w:lang w:val="en-US" w:eastAsia="zh-CN" w:bidi="ar-SA"/>
    </w:rPr>
  </w:style>
  <w:style w:type="character" w:styleId="1284" w:customStyle="1">
    <w:name w:val="font21"/>
    <w:basedOn w:val="854"/>
    <w:uiPriority w:val="0"/>
    <w:qFormat/>
    <w:rPr>
      <w:rFonts w:hint="eastAsia" w:ascii="宋体" w:hAnsi="宋体" w:eastAsia="宋体" w:cs="宋体"/>
      <w:color w:val="000000"/>
      <w:sz w:val="24"/>
      <w:szCs w:val="24"/>
      <w:u w:val="none"/>
    </w:rPr>
  </w:style>
  <w:style w:type="character" w:styleId="1285" w:customStyle="1">
    <w:name w:val="font41"/>
    <w:basedOn w:val="854"/>
    <w:uiPriority w:val="0"/>
    <w:qFormat/>
    <w:rPr>
      <w:rFonts w:hint="default" w:ascii="Times New Roman" w:hAnsi="Times New Roman" w:cs="Times New Roman"/>
      <w:color w:val="000000"/>
      <w:sz w:val="24"/>
      <w:szCs w:val="24"/>
      <w:u w:val="none"/>
    </w:rPr>
  </w:style>
  <w:style w:type="character" w:styleId="1286" w:customStyle="1">
    <w:name w:val="font51"/>
    <w:basedOn w:val="854"/>
    <w:uiPriority w:val="0"/>
    <w:qFormat/>
    <w:rPr>
      <w:rFonts w:hint="default" w:ascii="Times New Roman" w:hAnsi="Times New Roman" w:cs="Times New Roman"/>
      <w:color w:val="000000"/>
      <w:sz w:val="21"/>
      <w:szCs w:val="21"/>
      <w:u w:val="none"/>
    </w:rPr>
  </w:style>
  <w:style w:type="character" w:styleId="1287" w:customStyle="1">
    <w:name w:val="font61"/>
    <w:basedOn w:val="854"/>
    <w:uiPriority w:val="0"/>
    <w:qFormat/>
    <w:rPr>
      <w:rFonts w:hint="eastAsia" w:ascii="宋体" w:hAnsi="宋体" w:eastAsia="宋体" w:cs="宋体"/>
      <w:color w:val="000000"/>
      <w:sz w:val="21"/>
      <w:szCs w:val="21"/>
      <w:u w:val="none"/>
    </w:rPr>
  </w:style>
  <w:style w:type="numbering" w:styleId="12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customXml" Target="../customXml/item1.xml" /><Relationship Id="rId2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4098" textRotate="1"/>
    <customShpInfo spid="_x0000_s4099" textRotate="1"/>
    <customShpInfo spid="_x0000_s4100" textRotate="1"/>
    <customShpInfo spid="_x0000_s4101" textRotate="1"/>
    <customShpInfo spid="_x0000_s4097"/>
    <customShpInfo spid="_x0000_s4102" textRotate="1"/>
    <customShpInfo spid="_x0000_s2052"/>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周瑜霞（溧阳分公司）</cp:lastModifiedBy>
  <cp:revision>11</cp:revision>
  <dcterms:created xsi:type="dcterms:W3CDTF">2022-05-30T08:03:00Z</dcterms:created>
  <dcterms:modified xsi:type="dcterms:W3CDTF">2026-01-07T07:50:44Z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BE3A81DEE54E430EB56B9D91432259A6_12</vt:lpwstr>
  </property>
  <property fmtid="{D5CDD505-2E9C-101B-9397-08002B2CF9AE}" pid="4" name="KSOTemplateDocerSaveRecord">
    <vt:lpwstr>eyJoZGlkIjoiNTliNzRkYTg5NDJmMzJmZTljMjE2NGU5OTNiZDE4NTMiLCJ1c2VySWQiOiI0MDI0MDQzOTYifQ==</vt:lpwstr>
  </property>
</Properties>
</file>